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639" w:type="dxa"/>
        <w:tblInd w:w="-5" w:type="dxa"/>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13622" w:rsidRPr="008517B5" w14:paraId="5E899E5F" w14:textId="77777777" w:rsidTr="00E16134">
        <w:trPr>
          <w:trHeight w:val="370"/>
        </w:trPr>
        <w:tc>
          <w:tcPr>
            <w:tcW w:w="9639" w:type="dxa"/>
            <w:tcBorders>
              <w:top w:val="nil"/>
              <w:bottom w:val="single" w:sz="4" w:space="0" w:color="161A48"/>
            </w:tcBorders>
          </w:tcPr>
          <w:p w14:paraId="64063E1C" w14:textId="77777777" w:rsidR="00B13622" w:rsidRPr="008517B5" w:rsidRDefault="00B13622" w:rsidP="00E16134">
            <w:pPr>
              <w:pStyle w:val="Nadpisobsahu"/>
              <w:tabs>
                <w:tab w:val="left" w:pos="6300"/>
                <w:tab w:val="left" w:pos="8395"/>
              </w:tabs>
            </w:pPr>
            <w:r>
              <w:tab/>
            </w:r>
            <w:r>
              <w:tab/>
            </w:r>
          </w:p>
        </w:tc>
      </w:tr>
      <w:tr w:rsidR="00B13622" w14:paraId="3343A831" w14:textId="77777777" w:rsidTr="00E16134">
        <w:trPr>
          <w:trHeight w:val="370"/>
        </w:trPr>
        <w:tc>
          <w:tcPr>
            <w:tcW w:w="9639" w:type="dxa"/>
            <w:tcBorders>
              <w:top w:val="single" w:sz="4" w:space="0" w:color="161A48"/>
              <w:bottom w:val="single" w:sz="18" w:space="0" w:color="161A48"/>
            </w:tcBorders>
          </w:tcPr>
          <w:p w14:paraId="608D996C" w14:textId="77777777" w:rsidR="00B13622" w:rsidRDefault="00B13622" w:rsidP="00E16134">
            <w:pPr>
              <w:pStyle w:val="tvar"/>
              <w:spacing w:before="120" w:after="120"/>
              <w:ind w:left="-109"/>
            </w:pPr>
            <w:r>
              <w:t>Rada pro výzkum, vývoj a inovace</w:t>
            </w:r>
          </w:p>
        </w:tc>
      </w:tr>
    </w:tbl>
    <w:p w14:paraId="003A7348" w14:textId="23E867A7" w:rsidR="000C4996" w:rsidRPr="000C4996" w:rsidRDefault="000C4996" w:rsidP="000C4996">
      <w:pPr>
        <w:spacing w:before="240" w:after="240"/>
        <w:jc w:val="center"/>
        <w:rPr>
          <w:rFonts w:ascii="Arial" w:hAnsi="Arial" w:cs="Arial"/>
          <w:b/>
          <w:color w:val="0070C0"/>
          <w:sz w:val="28"/>
          <w:szCs w:val="28"/>
        </w:rPr>
      </w:pPr>
      <w:r w:rsidRPr="00FB1B27">
        <w:rPr>
          <w:rFonts w:ascii="Arial" w:eastAsiaTheme="majorEastAsia" w:hAnsi="Arial" w:cs="Arial"/>
          <w:b/>
          <w:bCs/>
          <w:color w:val="0070C0"/>
          <w:sz w:val="28"/>
          <w:szCs w:val="28"/>
        </w:rPr>
        <w:t xml:space="preserve">Záměr realizovat nadlimitní veřejnou zakázku s názvem „Nákup datových podkladů z databázové platformy </w:t>
      </w:r>
      <w:r w:rsidRPr="00DB0CC6">
        <w:rPr>
          <w:rFonts w:ascii="Arial" w:eastAsiaTheme="majorEastAsia" w:hAnsi="Arial" w:cs="Arial"/>
          <w:b/>
          <w:bCs/>
          <w:color w:val="0070C0"/>
          <w:sz w:val="28"/>
          <w:szCs w:val="28"/>
        </w:rPr>
        <w:t xml:space="preserve">Web </w:t>
      </w:r>
      <w:proofErr w:type="spellStart"/>
      <w:r w:rsidRPr="00DB0CC6">
        <w:rPr>
          <w:rFonts w:ascii="Arial" w:eastAsiaTheme="majorEastAsia" w:hAnsi="Arial" w:cs="Arial"/>
          <w:b/>
          <w:bCs/>
          <w:color w:val="0070C0"/>
          <w:sz w:val="28"/>
          <w:szCs w:val="28"/>
        </w:rPr>
        <w:t>of</w:t>
      </w:r>
      <w:proofErr w:type="spellEnd"/>
      <w:r w:rsidRPr="00DB0CC6">
        <w:rPr>
          <w:rFonts w:ascii="Arial" w:eastAsiaTheme="majorEastAsia" w:hAnsi="Arial" w:cs="Arial"/>
          <w:b/>
          <w:bCs/>
          <w:color w:val="0070C0"/>
          <w:sz w:val="28"/>
          <w:szCs w:val="28"/>
        </w:rPr>
        <w:t xml:space="preserve"> Science</w:t>
      </w:r>
      <w:r w:rsidRPr="00FB1B27">
        <w:rPr>
          <w:rFonts w:ascii="Arial" w:eastAsiaTheme="majorEastAsia" w:hAnsi="Arial" w:cs="Arial"/>
          <w:b/>
          <w:bCs/>
          <w:color w:val="0070C0"/>
          <w:sz w:val="28"/>
          <w:szCs w:val="28"/>
        </w:rPr>
        <w:t xml:space="preserve"> nutných pro provedení hodnocení výsledků výzkumných organizací v roce </w:t>
      </w:r>
      <w:r w:rsidR="003C032F" w:rsidRPr="00FB1B27">
        <w:rPr>
          <w:rFonts w:ascii="Arial" w:eastAsiaTheme="majorEastAsia" w:hAnsi="Arial" w:cs="Arial"/>
          <w:b/>
          <w:bCs/>
          <w:color w:val="0070C0"/>
          <w:sz w:val="28"/>
          <w:szCs w:val="28"/>
        </w:rPr>
        <w:t>202</w:t>
      </w:r>
      <w:r w:rsidR="003C032F">
        <w:rPr>
          <w:rFonts w:ascii="Arial" w:eastAsiaTheme="majorEastAsia" w:hAnsi="Arial" w:cs="Arial"/>
          <w:b/>
          <w:bCs/>
          <w:color w:val="0070C0"/>
          <w:sz w:val="28"/>
          <w:szCs w:val="28"/>
        </w:rPr>
        <w:t>5</w:t>
      </w:r>
      <w:r w:rsidRPr="00FB1B27">
        <w:rPr>
          <w:rFonts w:ascii="Arial" w:eastAsiaTheme="majorEastAsia" w:hAnsi="Arial" w:cs="Arial"/>
          <w:b/>
          <w:bCs/>
          <w:color w:val="0070C0"/>
          <w:sz w:val="28"/>
          <w:szCs w:val="28"/>
        </w:rPr>
        <w:t>“</w:t>
      </w:r>
    </w:p>
    <w:p w14:paraId="5D652F47" w14:textId="33044B69" w:rsidR="000C4996" w:rsidRPr="00FB1B27" w:rsidRDefault="000C4996" w:rsidP="000C4996">
      <w:pPr>
        <w:spacing w:after="120"/>
        <w:jc w:val="both"/>
        <w:rPr>
          <w:rFonts w:ascii="Arial" w:hAnsi="Arial" w:cs="Arial"/>
        </w:rPr>
      </w:pPr>
      <w:r w:rsidRPr="00FB1B27">
        <w:rPr>
          <w:rFonts w:ascii="Arial" w:hAnsi="Arial" w:cs="Arial"/>
        </w:rPr>
        <w:t xml:space="preserve">Předmětem plnění nadlimitní veřejné zakázky je získání dat z databázové platformy </w:t>
      </w:r>
      <w:r w:rsidRPr="00DB0CC6">
        <w:rPr>
          <w:rFonts w:ascii="Arial" w:hAnsi="Arial" w:cs="Arial"/>
        </w:rPr>
        <w:t xml:space="preserve">Web </w:t>
      </w:r>
      <w:proofErr w:type="spellStart"/>
      <w:r w:rsidRPr="00DB0CC6">
        <w:rPr>
          <w:rFonts w:ascii="Arial" w:hAnsi="Arial" w:cs="Arial"/>
        </w:rPr>
        <w:t>of</w:t>
      </w:r>
      <w:proofErr w:type="spellEnd"/>
      <w:r w:rsidRPr="00DB0CC6">
        <w:rPr>
          <w:rFonts w:ascii="Arial" w:hAnsi="Arial" w:cs="Arial"/>
        </w:rPr>
        <w:t> Science</w:t>
      </w:r>
      <w:r w:rsidRPr="00FB1B27">
        <w:rPr>
          <w:rFonts w:ascii="Arial" w:hAnsi="Arial" w:cs="Arial"/>
        </w:rPr>
        <w:t xml:space="preserve"> nutných pro realizaci hodnocení na národní úrovni v roce </w:t>
      </w:r>
      <w:r w:rsidR="00A150F7">
        <w:rPr>
          <w:rFonts w:ascii="Arial" w:hAnsi="Arial" w:cs="Arial"/>
        </w:rPr>
        <w:t>2025</w:t>
      </w:r>
      <w:r w:rsidRPr="00FB1B27">
        <w:rPr>
          <w:rFonts w:ascii="Arial" w:hAnsi="Arial" w:cs="Arial"/>
        </w:rPr>
        <w:t xml:space="preserve"> v souladu s Metodikou hodnocení výzkumných organizací, schválenou usnesením vlády ČR ze dne </w:t>
      </w:r>
      <w:r w:rsidR="00872D1B">
        <w:rPr>
          <w:rFonts w:ascii="Arial" w:hAnsi="Arial" w:cs="Arial"/>
        </w:rPr>
        <w:t>1</w:t>
      </w:r>
      <w:r w:rsidRPr="00FB1B27">
        <w:rPr>
          <w:rFonts w:ascii="Arial" w:hAnsi="Arial" w:cs="Arial"/>
        </w:rPr>
        <w:t xml:space="preserve">8. </w:t>
      </w:r>
      <w:r w:rsidR="00872D1B">
        <w:rPr>
          <w:rFonts w:ascii="Arial" w:hAnsi="Arial" w:cs="Arial"/>
        </w:rPr>
        <w:t>června</w:t>
      </w:r>
      <w:r w:rsidRPr="00FB1B27">
        <w:rPr>
          <w:rFonts w:ascii="Arial" w:hAnsi="Arial" w:cs="Arial"/>
        </w:rPr>
        <w:t xml:space="preserve"> 20</w:t>
      </w:r>
      <w:r w:rsidR="00872D1B">
        <w:rPr>
          <w:rFonts w:ascii="Arial" w:hAnsi="Arial" w:cs="Arial"/>
        </w:rPr>
        <w:t>25</w:t>
      </w:r>
      <w:r w:rsidRPr="00FB1B27">
        <w:rPr>
          <w:rFonts w:ascii="Arial" w:hAnsi="Arial" w:cs="Arial"/>
        </w:rPr>
        <w:t xml:space="preserve"> č. </w:t>
      </w:r>
      <w:r w:rsidR="00872D1B">
        <w:rPr>
          <w:rFonts w:ascii="Arial" w:hAnsi="Arial" w:cs="Arial"/>
        </w:rPr>
        <w:t>458</w:t>
      </w:r>
      <w:r w:rsidRPr="00FB1B27">
        <w:rPr>
          <w:rFonts w:ascii="Arial" w:hAnsi="Arial" w:cs="Arial"/>
        </w:rPr>
        <w:t xml:space="preserve"> (dále jen „Metodika“). </w:t>
      </w:r>
      <w:r w:rsidRPr="00FB1B27">
        <w:rPr>
          <w:rFonts w:ascii="Arial" w:hAnsi="Arial" w:cs="Arial"/>
          <w:bCs/>
        </w:rPr>
        <w:t xml:space="preserve">Tato veřejná zakázka navazuje na již realizované a Radou pro výzkum, vývoj a inovace </w:t>
      </w:r>
      <w:r w:rsidR="00E42AAE">
        <w:rPr>
          <w:rFonts w:ascii="Arial" w:hAnsi="Arial" w:cs="Arial"/>
          <w:bCs/>
        </w:rPr>
        <w:t xml:space="preserve">(dále jen „RVVI“) </w:t>
      </w:r>
      <w:r w:rsidRPr="00FB1B27">
        <w:rPr>
          <w:rFonts w:ascii="Arial" w:hAnsi="Arial" w:cs="Arial"/>
          <w:bCs/>
        </w:rPr>
        <w:t xml:space="preserve">schválené veřejné zakázky </w:t>
      </w:r>
      <w:r>
        <w:rPr>
          <w:rFonts w:ascii="Arial" w:hAnsi="Arial" w:cs="Arial"/>
          <w:bCs/>
        </w:rPr>
        <w:t>n</w:t>
      </w:r>
      <w:r w:rsidRPr="00FB1B27">
        <w:rPr>
          <w:rFonts w:ascii="Arial" w:hAnsi="Arial" w:cs="Arial"/>
          <w:bCs/>
        </w:rPr>
        <w:t xml:space="preserve">ákup datových podkladů z databázové platformy Web </w:t>
      </w:r>
      <w:proofErr w:type="spellStart"/>
      <w:r w:rsidRPr="00FB1B27">
        <w:rPr>
          <w:rFonts w:ascii="Arial" w:hAnsi="Arial" w:cs="Arial"/>
          <w:bCs/>
        </w:rPr>
        <w:t>of</w:t>
      </w:r>
      <w:proofErr w:type="spellEnd"/>
      <w:r w:rsidRPr="00FB1B27">
        <w:rPr>
          <w:rFonts w:ascii="Arial" w:hAnsi="Arial" w:cs="Arial"/>
          <w:bCs/>
        </w:rPr>
        <w:t xml:space="preserve"> Science nutných pro provedení hodnocení výsledků výzkumných organizací </w:t>
      </w:r>
      <w:r w:rsidR="00872D1B">
        <w:rPr>
          <w:rFonts w:ascii="Arial" w:hAnsi="Arial" w:cs="Arial"/>
          <w:bCs/>
        </w:rPr>
        <w:t xml:space="preserve">specifikované </w:t>
      </w:r>
      <w:r w:rsidR="00E42AAE">
        <w:rPr>
          <w:rFonts w:ascii="Arial" w:hAnsi="Arial" w:cs="Arial"/>
          <w:bCs/>
        </w:rPr>
        <w:t xml:space="preserve">v souladu s rozvojem Metodiky </w:t>
      </w:r>
      <w:r w:rsidR="00872D1B">
        <w:rPr>
          <w:rFonts w:ascii="Arial" w:hAnsi="Arial" w:cs="Arial"/>
          <w:bCs/>
        </w:rPr>
        <w:t>pro jednotlivé roky</w:t>
      </w:r>
      <w:r w:rsidRPr="00FB1B27">
        <w:rPr>
          <w:rFonts w:ascii="Arial" w:hAnsi="Arial" w:cs="Arial"/>
          <w:bCs/>
        </w:rPr>
        <w:t xml:space="preserve"> </w:t>
      </w:r>
      <w:r w:rsidR="00872D1B">
        <w:rPr>
          <w:rFonts w:ascii="Arial" w:hAnsi="Arial" w:cs="Arial"/>
          <w:bCs/>
        </w:rPr>
        <w:t xml:space="preserve">od roku </w:t>
      </w:r>
      <w:r w:rsidRPr="00FB1B27">
        <w:rPr>
          <w:rFonts w:ascii="Arial" w:hAnsi="Arial" w:cs="Arial"/>
          <w:bCs/>
        </w:rPr>
        <w:t xml:space="preserve">2018. </w:t>
      </w:r>
    </w:p>
    <w:p w14:paraId="0DD39163" w14:textId="7D1BAEF6" w:rsidR="000C4996" w:rsidRPr="00FB1B27" w:rsidRDefault="000C4996" w:rsidP="000C4996">
      <w:pPr>
        <w:spacing w:after="120"/>
        <w:jc w:val="both"/>
        <w:rPr>
          <w:rFonts w:ascii="Arial" w:hAnsi="Arial" w:cs="Arial"/>
          <w:bCs/>
        </w:rPr>
      </w:pPr>
      <w:r w:rsidRPr="00FB1B27">
        <w:rPr>
          <w:rFonts w:ascii="Arial" w:hAnsi="Arial" w:cs="Arial"/>
          <w:bCs/>
        </w:rPr>
        <w:t>Tak jako v předchozích letech zakázka věcně a časově souvisí s nadlimitní veřejnou zakázkou, ve které se zadavatel připojil k projektu národního licenčního centra (dále jen „CzechELib“), v </w:t>
      </w:r>
      <w:proofErr w:type="gramStart"/>
      <w:r w:rsidRPr="00FB1B27">
        <w:rPr>
          <w:rFonts w:ascii="Arial" w:hAnsi="Arial" w:cs="Arial"/>
          <w:bCs/>
        </w:rPr>
        <w:t>rámci</w:t>
      </w:r>
      <w:proofErr w:type="gramEnd"/>
      <w:r w:rsidRPr="00FB1B27">
        <w:rPr>
          <w:rFonts w:ascii="Arial" w:hAnsi="Arial" w:cs="Arial"/>
          <w:bCs/>
        </w:rPr>
        <w:t xml:space="preserve"> kterého pro Ú</w:t>
      </w:r>
      <w:r>
        <w:rPr>
          <w:rFonts w:ascii="Arial" w:hAnsi="Arial" w:cs="Arial"/>
          <w:bCs/>
        </w:rPr>
        <w:t xml:space="preserve">řad vlády ČR </w:t>
      </w:r>
      <w:r w:rsidRPr="00FB1B27">
        <w:rPr>
          <w:rFonts w:ascii="Arial" w:hAnsi="Arial" w:cs="Arial"/>
          <w:bCs/>
        </w:rPr>
        <w:t xml:space="preserve">na základě smlouvy o centralizovaném zadávání zajišťuje Národní technická knihovna přístupy do publikačních databází včetně získání přístupů k databázové platformě Web </w:t>
      </w:r>
      <w:proofErr w:type="spellStart"/>
      <w:r w:rsidRPr="00FB1B27">
        <w:rPr>
          <w:rFonts w:ascii="Arial" w:hAnsi="Arial" w:cs="Arial"/>
          <w:bCs/>
        </w:rPr>
        <w:t>of</w:t>
      </w:r>
      <w:proofErr w:type="spellEnd"/>
      <w:r w:rsidRPr="00FB1B27">
        <w:rPr>
          <w:rFonts w:ascii="Arial" w:hAnsi="Arial" w:cs="Arial"/>
          <w:bCs/>
        </w:rPr>
        <w:t xml:space="preserve"> Science. Součástí CzechELib jsou i veřejné zakázky na pořízení licence k analytickému nástroji </w:t>
      </w:r>
      <w:proofErr w:type="spellStart"/>
      <w:r w:rsidRPr="00FB1B27">
        <w:rPr>
          <w:rFonts w:ascii="Arial" w:hAnsi="Arial" w:cs="Arial"/>
          <w:bCs/>
        </w:rPr>
        <w:t>InCites</w:t>
      </w:r>
      <w:proofErr w:type="spellEnd"/>
      <w:r w:rsidRPr="00FB1B27">
        <w:rPr>
          <w:rFonts w:ascii="Arial" w:hAnsi="Arial" w:cs="Arial"/>
          <w:bCs/>
        </w:rPr>
        <w:t xml:space="preserve">, které jsou rovněž realizovány ve vazbě na výše zmíněnou nadlimitní veřejnou zakázku. </w:t>
      </w:r>
    </w:p>
    <w:p w14:paraId="087D359F" w14:textId="33E6A599" w:rsidR="000C4996" w:rsidRPr="00FB1B27" w:rsidRDefault="000C4996" w:rsidP="000C4996">
      <w:pPr>
        <w:spacing w:after="120"/>
        <w:jc w:val="both"/>
        <w:rPr>
          <w:rFonts w:ascii="Arial" w:hAnsi="Arial" w:cs="Arial"/>
          <w:bCs/>
        </w:rPr>
      </w:pPr>
      <w:r w:rsidRPr="00FB1B27">
        <w:rPr>
          <w:rFonts w:ascii="Arial" w:hAnsi="Arial" w:cs="Arial"/>
          <w:bCs/>
        </w:rPr>
        <w:t>Vzhledem ke skutečnosti, že z pohledu zákona č. 134/201</w:t>
      </w:r>
      <w:r w:rsidR="00A150F7">
        <w:rPr>
          <w:rFonts w:ascii="Arial" w:hAnsi="Arial" w:cs="Arial"/>
          <w:bCs/>
        </w:rPr>
        <w:t>6</w:t>
      </w:r>
      <w:r w:rsidRPr="00FB1B27">
        <w:rPr>
          <w:rFonts w:ascii="Arial" w:hAnsi="Arial" w:cs="Arial"/>
          <w:bCs/>
        </w:rPr>
        <w:t xml:space="preserve"> Sb., o zadávání veřejných zakázek, ve znění pozdějších předpisů (dále jen „ZZVZ“)</w:t>
      </w:r>
      <w:r>
        <w:rPr>
          <w:rFonts w:ascii="Arial" w:hAnsi="Arial" w:cs="Arial"/>
          <w:bCs/>
        </w:rPr>
        <w:t>,</w:t>
      </w:r>
      <w:r w:rsidRPr="00FB1B27">
        <w:rPr>
          <w:rFonts w:ascii="Arial" w:hAnsi="Arial" w:cs="Arial"/>
          <w:bCs/>
        </w:rPr>
        <w:t xml:space="preserve"> existuje funkční a časová souvislost mezi jednotlivými plněními, která v součtu překračují předpokládanou hodnotu pro nadlimitní veřejnou zakázku, je </w:t>
      </w:r>
      <w:r>
        <w:rPr>
          <w:rFonts w:ascii="Arial" w:hAnsi="Arial" w:cs="Arial"/>
          <w:bCs/>
        </w:rPr>
        <w:t>veřejná zakázka</w:t>
      </w:r>
      <w:r w:rsidRPr="00FB1B27">
        <w:rPr>
          <w:rFonts w:ascii="Arial" w:hAnsi="Arial" w:cs="Arial"/>
          <w:bCs/>
        </w:rPr>
        <w:t xml:space="preserve"> „Nákup datových podkladů z databázové platformy Web </w:t>
      </w:r>
      <w:proofErr w:type="spellStart"/>
      <w:r w:rsidRPr="00FB1B27">
        <w:rPr>
          <w:rFonts w:ascii="Arial" w:hAnsi="Arial" w:cs="Arial"/>
          <w:bCs/>
        </w:rPr>
        <w:t>of</w:t>
      </w:r>
      <w:proofErr w:type="spellEnd"/>
      <w:r w:rsidRPr="00FB1B27">
        <w:rPr>
          <w:rFonts w:ascii="Arial" w:hAnsi="Arial" w:cs="Arial"/>
          <w:bCs/>
        </w:rPr>
        <w:t xml:space="preserve"> Science nutných pro provedení hodnocení výsledků výzkumných organizací v</w:t>
      </w:r>
      <w:r w:rsidR="00872D1B">
        <w:rPr>
          <w:rFonts w:ascii="Arial" w:hAnsi="Arial" w:cs="Arial"/>
          <w:bCs/>
        </w:rPr>
        <w:t> </w:t>
      </w:r>
      <w:r w:rsidRPr="00FB1B27">
        <w:rPr>
          <w:rFonts w:ascii="Arial" w:hAnsi="Arial" w:cs="Arial"/>
          <w:bCs/>
        </w:rPr>
        <w:t>roce</w:t>
      </w:r>
      <w:r w:rsidR="00872D1B">
        <w:rPr>
          <w:rFonts w:ascii="Arial" w:hAnsi="Arial" w:cs="Arial"/>
          <w:bCs/>
        </w:rPr>
        <w:t xml:space="preserve"> </w:t>
      </w:r>
      <w:r w:rsidR="00A150F7">
        <w:rPr>
          <w:rFonts w:ascii="Arial" w:hAnsi="Arial" w:cs="Arial"/>
          <w:bCs/>
        </w:rPr>
        <w:t>2025</w:t>
      </w:r>
      <w:r w:rsidRPr="00FB1B27">
        <w:rPr>
          <w:rFonts w:ascii="Arial" w:hAnsi="Arial" w:cs="Arial"/>
          <w:bCs/>
        </w:rPr>
        <w:t xml:space="preserve">“ považována za část nadlimitní veřejné zakázky. Zadavatel nemůže dle ZVZZ zadat veřejnou zakázku jako veřejnou zakázku malého rozsahu postupem dle § 31 ZVZZ, neboť tato část veřejné zakázky nebyla zahrnuta do původní nadlimitní veřejné zakázky. Důvodem nezahrnutí této veřejné zakázky do předpokládané hodnoty celé veřejné zakázky v rámci projektu CzechELib je (1) nejen skutečnost, že v době přípravy projektu ještě nebyl zadavateli znám přesný rozsah dat, která bude muset zadavatel použít pro provedení hodnocení, ale (2) především to, že projekt CzechELib zajišťuje centralizovaně společné potřeby participujících subjektů, zatímco předmětný nákup analytických dat je specifickou potřebou jen jednoho účastníka - Úřadu vlády ČR. Z toho plyne, že by nedošlo k finanční úspoře díky účasti více subjektů, ale naopak by došlo k nárůstu administrativní složitosti vyjednání a dodání dat s významným rizikem zpoždění. </w:t>
      </w:r>
      <w:r>
        <w:rPr>
          <w:rFonts w:ascii="Arial" w:hAnsi="Arial" w:cs="Arial"/>
          <w:bCs/>
        </w:rPr>
        <w:t>Veřejná zakázka</w:t>
      </w:r>
      <w:r w:rsidRPr="00FB1B27">
        <w:rPr>
          <w:rFonts w:ascii="Arial" w:hAnsi="Arial" w:cs="Arial"/>
          <w:bCs/>
        </w:rPr>
        <w:t xml:space="preserve"> bude realizována jako nadlimitní a postupem dle § 63 odst. 3 písm. b) ZVZZ (neexistence hospodářské soutěže) a § 63 odst. 3 písm. c) ZVZZ (nezbytnost z</w:t>
      </w:r>
      <w:r>
        <w:rPr>
          <w:rFonts w:ascii="Arial" w:hAnsi="Arial" w:cs="Arial"/>
          <w:bCs/>
        </w:rPr>
        <w:t> </w:t>
      </w:r>
      <w:r w:rsidRPr="00FB1B27">
        <w:rPr>
          <w:rFonts w:ascii="Arial" w:hAnsi="Arial" w:cs="Arial"/>
          <w:bCs/>
        </w:rPr>
        <w:t>důvodu ochrany výhradních práv včetně práv duševního vlastnict</w:t>
      </w:r>
      <w:r>
        <w:rPr>
          <w:rFonts w:ascii="Arial" w:hAnsi="Arial" w:cs="Arial"/>
          <w:bCs/>
        </w:rPr>
        <w:t>ví).</w:t>
      </w:r>
      <w:r w:rsidRPr="00FB1B27">
        <w:rPr>
          <w:rFonts w:ascii="Arial" w:hAnsi="Arial" w:cs="Arial"/>
          <w:bCs/>
        </w:rPr>
        <w:t xml:space="preserve"> </w:t>
      </w:r>
    </w:p>
    <w:p w14:paraId="467EC025" w14:textId="779FA385" w:rsidR="000C4996" w:rsidRPr="00FB1B27" w:rsidRDefault="000C4996" w:rsidP="000C4996">
      <w:pPr>
        <w:spacing w:after="120"/>
        <w:jc w:val="both"/>
        <w:rPr>
          <w:rFonts w:ascii="Arial" w:hAnsi="Arial" w:cs="Arial"/>
          <w:bCs/>
        </w:rPr>
      </w:pPr>
      <w:r w:rsidRPr="00FB1B27">
        <w:rPr>
          <w:rFonts w:ascii="Arial" w:hAnsi="Arial" w:cs="Arial"/>
          <w:b/>
          <w:bCs/>
        </w:rPr>
        <w:lastRenderedPageBreak/>
        <w:t>Předmětem veřejné zakázky</w:t>
      </w:r>
      <w:r w:rsidRPr="00FB1B27">
        <w:rPr>
          <w:rFonts w:ascii="Arial" w:hAnsi="Arial" w:cs="Arial"/>
          <w:bCs/>
        </w:rPr>
        <w:t xml:space="preserve"> je získání dat z</w:t>
      </w:r>
      <w:r>
        <w:rPr>
          <w:rFonts w:ascii="Arial" w:hAnsi="Arial" w:cs="Arial"/>
          <w:bCs/>
        </w:rPr>
        <w:t> </w:t>
      </w:r>
      <w:r w:rsidRPr="00FB1B27">
        <w:rPr>
          <w:rFonts w:ascii="Arial" w:hAnsi="Arial" w:cs="Arial"/>
          <w:bCs/>
        </w:rPr>
        <w:t xml:space="preserve">databázové platformy Web </w:t>
      </w:r>
      <w:proofErr w:type="spellStart"/>
      <w:r w:rsidRPr="00FB1B27">
        <w:rPr>
          <w:rFonts w:ascii="Arial" w:hAnsi="Arial" w:cs="Arial"/>
          <w:bCs/>
        </w:rPr>
        <w:t>of</w:t>
      </w:r>
      <w:proofErr w:type="spellEnd"/>
      <w:r w:rsidRPr="00FB1B27">
        <w:rPr>
          <w:rFonts w:ascii="Arial" w:hAnsi="Arial" w:cs="Arial"/>
          <w:bCs/>
        </w:rPr>
        <w:t> Science nutných pro realizaci hodnocení v</w:t>
      </w:r>
      <w:r>
        <w:rPr>
          <w:rFonts w:ascii="Arial" w:hAnsi="Arial" w:cs="Arial"/>
          <w:bCs/>
        </w:rPr>
        <w:t> </w:t>
      </w:r>
      <w:r w:rsidRPr="00FB1B27">
        <w:rPr>
          <w:rFonts w:ascii="Arial" w:hAnsi="Arial" w:cs="Arial"/>
          <w:bCs/>
        </w:rPr>
        <w:t xml:space="preserve">roce </w:t>
      </w:r>
      <w:r w:rsidR="007A4DB4">
        <w:rPr>
          <w:rFonts w:ascii="Arial" w:hAnsi="Arial" w:cs="Arial"/>
          <w:bCs/>
        </w:rPr>
        <w:t>2025</w:t>
      </w:r>
      <w:r w:rsidRPr="00FB1B27">
        <w:rPr>
          <w:rFonts w:ascii="Arial" w:hAnsi="Arial" w:cs="Arial"/>
          <w:bCs/>
        </w:rPr>
        <w:t xml:space="preserve">. Vlastník a provozovatel databáze </w:t>
      </w:r>
      <w:proofErr w:type="spellStart"/>
      <w:r w:rsidRPr="00FB1B27">
        <w:rPr>
          <w:rFonts w:ascii="Arial" w:hAnsi="Arial" w:cs="Arial"/>
          <w:bCs/>
        </w:rPr>
        <w:t>Clarivate</w:t>
      </w:r>
      <w:proofErr w:type="spellEnd"/>
      <w:r w:rsidRPr="00FB1B27">
        <w:rPr>
          <w:rFonts w:ascii="Arial" w:hAnsi="Arial" w:cs="Arial"/>
          <w:bCs/>
        </w:rPr>
        <w:t xml:space="preserve"> </w:t>
      </w:r>
      <w:proofErr w:type="spellStart"/>
      <w:r w:rsidRPr="00FB1B27">
        <w:rPr>
          <w:rFonts w:ascii="Arial" w:hAnsi="Arial" w:cs="Arial"/>
          <w:bCs/>
        </w:rPr>
        <w:t>Analytics</w:t>
      </w:r>
      <w:proofErr w:type="spellEnd"/>
      <w:r w:rsidRPr="00FB1B27">
        <w:rPr>
          <w:rFonts w:ascii="Arial" w:hAnsi="Arial" w:cs="Arial"/>
          <w:bCs/>
        </w:rPr>
        <w:t xml:space="preserve"> dodá tabulky</w:t>
      </w:r>
      <w:r>
        <w:rPr>
          <w:rFonts w:ascii="Arial" w:hAnsi="Arial" w:cs="Arial"/>
          <w:bCs/>
        </w:rPr>
        <w:t xml:space="preserve"> v nadefinované struktuře (viz P</w:t>
      </w:r>
      <w:r w:rsidRPr="00FB1B27">
        <w:rPr>
          <w:rFonts w:ascii="Arial" w:hAnsi="Arial" w:cs="Arial"/>
          <w:bCs/>
        </w:rPr>
        <w:t>říloha 1</w:t>
      </w:r>
      <w:r w:rsidR="00E42AAE">
        <w:rPr>
          <w:rFonts w:ascii="Arial" w:hAnsi="Arial" w:cs="Arial"/>
          <w:bCs/>
        </w:rPr>
        <w:t>.</w:t>
      </w:r>
      <w:r w:rsidRPr="00FB1B27">
        <w:rPr>
          <w:rFonts w:ascii="Arial" w:hAnsi="Arial" w:cs="Arial"/>
          <w:bCs/>
        </w:rPr>
        <w:t xml:space="preserve">). </w:t>
      </w:r>
    </w:p>
    <w:p w14:paraId="079E2BCE" w14:textId="265DCA67" w:rsidR="000C4996" w:rsidRPr="00FB1B27" w:rsidRDefault="000C4996" w:rsidP="000C4996">
      <w:pPr>
        <w:spacing w:after="120"/>
        <w:jc w:val="both"/>
        <w:rPr>
          <w:rFonts w:ascii="Arial" w:hAnsi="Arial" w:cs="Arial"/>
          <w:bCs/>
        </w:rPr>
      </w:pPr>
      <w:r w:rsidRPr="00FB1B27">
        <w:rPr>
          <w:rFonts w:ascii="Arial" w:hAnsi="Arial" w:cs="Arial"/>
          <w:b/>
          <w:bCs/>
        </w:rPr>
        <w:t>Důvodem realizace</w:t>
      </w:r>
      <w:r w:rsidRPr="00FB1B27">
        <w:rPr>
          <w:rFonts w:ascii="Arial" w:hAnsi="Arial" w:cs="Arial"/>
          <w:bCs/>
        </w:rPr>
        <w:t xml:space="preserve"> je skutečnost, že bez provedení objednávky dat RVVI nedostojí zákonem stanovené povinnosti zabezpečit hodnocení výzkumných organizací podle platné metodiky schvalované vládou, jak plyne ze zákona č. 130/2002 Sb., o podpoře výzkumu, experimentálního vývoje a inovací z</w:t>
      </w:r>
      <w:r>
        <w:rPr>
          <w:rFonts w:ascii="Arial" w:hAnsi="Arial" w:cs="Arial"/>
          <w:bCs/>
        </w:rPr>
        <w:t> </w:t>
      </w:r>
      <w:r w:rsidRPr="00FB1B27">
        <w:rPr>
          <w:rFonts w:ascii="Arial" w:hAnsi="Arial" w:cs="Arial"/>
          <w:bCs/>
        </w:rPr>
        <w:t xml:space="preserve">veřejných prostředků a o změně některých souvisejících zákonů (zákon o podpoře výzkumu, experimentálního vývoje a inovací), ve znění pozdějších předpisů. </w:t>
      </w:r>
    </w:p>
    <w:p w14:paraId="5A032193" w14:textId="77777777" w:rsidR="000C4996" w:rsidRPr="00FB1B27" w:rsidRDefault="000C4996" w:rsidP="000C4996">
      <w:pPr>
        <w:spacing w:after="120"/>
        <w:jc w:val="both"/>
        <w:rPr>
          <w:rFonts w:ascii="Arial" w:hAnsi="Arial" w:cs="Arial"/>
          <w:bCs/>
        </w:rPr>
      </w:pPr>
      <w:r w:rsidRPr="00FB1B27">
        <w:rPr>
          <w:rFonts w:ascii="Arial" w:hAnsi="Arial" w:cs="Arial"/>
          <w:bCs/>
        </w:rPr>
        <w:t xml:space="preserve">Struktura dodaných dat byla předem projednávána se společností </w:t>
      </w:r>
      <w:proofErr w:type="spellStart"/>
      <w:r w:rsidRPr="00FB1B27">
        <w:rPr>
          <w:rFonts w:ascii="Arial" w:hAnsi="Arial" w:cs="Arial"/>
          <w:bCs/>
        </w:rPr>
        <w:t>Clarivate</w:t>
      </w:r>
      <w:proofErr w:type="spellEnd"/>
      <w:r w:rsidRPr="00FB1B27">
        <w:rPr>
          <w:rFonts w:ascii="Arial" w:hAnsi="Arial" w:cs="Arial"/>
          <w:bCs/>
        </w:rPr>
        <w:t xml:space="preserve"> </w:t>
      </w:r>
      <w:proofErr w:type="spellStart"/>
      <w:r w:rsidRPr="00FB1B27">
        <w:rPr>
          <w:rFonts w:ascii="Arial" w:hAnsi="Arial" w:cs="Arial"/>
          <w:bCs/>
        </w:rPr>
        <w:t>Analytics</w:t>
      </w:r>
      <w:proofErr w:type="spellEnd"/>
      <w:r w:rsidRPr="00FB1B27">
        <w:rPr>
          <w:rFonts w:ascii="Arial" w:hAnsi="Arial" w:cs="Arial"/>
          <w:bCs/>
        </w:rPr>
        <w:t xml:space="preserve"> tak, aby odpovídala databázovému systému Web </w:t>
      </w:r>
      <w:proofErr w:type="spellStart"/>
      <w:r w:rsidRPr="00FB1B27">
        <w:rPr>
          <w:rFonts w:ascii="Arial" w:hAnsi="Arial" w:cs="Arial"/>
          <w:bCs/>
        </w:rPr>
        <w:t>of</w:t>
      </w:r>
      <w:proofErr w:type="spellEnd"/>
      <w:r w:rsidRPr="00FB1B27">
        <w:rPr>
          <w:rFonts w:ascii="Arial" w:hAnsi="Arial" w:cs="Arial"/>
          <w:bCs/>
        </w:rPr>
        <w:t xml:space="preserve"> Science, což umožňuje zformulovat objednávku jednoznačně a pouze v</w:t>
      </w:r>
      <w:r>
        <w:rPr>
          <w:rFonts w:ascii="Arial" w:hAnsi="Arial" w:cs="Arial"/>
          <w:bCs/>
        </w:rPr>
        <w:t> </w:t>
      </w:r>
      <w:r w:rsidRPr="00FB1B27">
        <w:rPr>
          <w:rFonts w:ascii="Arial" w:hAnsi="Arial" w:cs="Arial"/>
          <w:bCs/>
        </w:rPr>
        <w:t>rozsahu nezbytných údajů a v</w:t>
      </w:r>
      <w:r>
        <w:rPr>
          <w:rFonts w:ascii="Arial" w:hAnsi="Arial" w:cs="Arial"/>
          <w:bCs/>
        </w:rPr>
        <w:t> </w:t>
      </w:r>
      <w:r w:rsidRPr="00FB1B27">
        <w:rPr>
          <w:rFonts w:ascii="Arial" w:hAnsi="Arial" w:cs="Arial"/>
          <w:bCs/>
        </w:rPr>
        <w:t>souladu s</w:t>
      </w:r>
      <w:r>
        <w:rPr>
          <w:rFonts w:ascii="Arial" w:hAnsi="Arial" w:cs="Arial"/>
          <w:bCs/>
        </w:rPr>
        <w:t> </w:t>
      </w:r>
      <w:r w:rsidRPr="00FB1B27">
        <w:rPr>
          <w:rFonts w:ascii="Arial" w:hAnsi="Arial" w:cs="Arial"/>
          <w:bCs/>
        </w:rPr>
        <w:t>plánovaným rozpočtem. Realizace plnění ze strany dodavatele nepředstavuje pouhé udělení licence a zpřístupnění určité části informačního systému. Dodavatel musí na základě požadavků zadavatele programovat specifickou sadu příkazů k</w:t>
      </w:r>
      <w:r>
        <w:rPr>
          <w:rFonts w:ascii="Arial" w:hAnsi="Arial" w:cs="Arial"/>
          <w:bCs/>
        </w:rPr>
        <w:t> </w:t>
      </w:r>
      <w:r w:rsidRPr="00FB1B27">
        <w:rPr>
          <w:rFonts w:ascii="Arial" w:hAnsi="Arial" w:cs="Arial"/>
          <w:bCs/>
        </w:rPr>
        <w:t>vygenerování požadovaných datových sad, jejich ověření a následnou úpravu do struktury zpracovatelné pro národní hodnocení.</w:t>
      </w:r>
      <w:r w:rsidRPr="003F6D55">
        <w:rPr>
          <w:rFonts w:ascii="Arial" w:hAnsi="Arial" w:cs="Arial"/>
          <w:bCs/>
        </w:rPr>
        <w:t xml:space="preserve"> </w:t>
      </w:r>
    </w:p>
    <w:p w14:paraId="452BF6E5" w14:textId="32C11FDF" w:rsidR="000C4996" w:rsidRPr="00FB1B27" w:rsidRDefault="000C4996" w:rsidP="000C4996">
      <w:pPr>
        <w:spacing w:after="120"/>
        <w:jc w:val="both"/>
        <w:rPr>
          <w:rFonts w:ascii="Arial" w:hAnsi="Arial" w:cs="Arial"/>
          <w:bCs/>
        </w:rPr>
      </w:pPr>
      <w:r w:rsidRPr="00FB1B27">
        <w:rPr>
          <w:rFonts w:ascii="Arial" w:hAnsi="Arial" w:cs="Arial"/>
          <w:b/>
          <w:bCs/>
        </w:rPr>
        <w:t>Předpokládaná hodnota</w:t>
      </w:r>
      <w:r w:rsidRPr="00FB1B27">
        <w:rPr>
          <w:rFonts w:ascii="Arial" w:hAnsi="Arial" w:cs="Arial"/>
          <w:bCs/>
        </w:rPr>
        <w:t xml:space="preserve"> veřejné zakázky </w:t>
      </w:r>
      <w:r w:rsidRPr="003B2E70">
        <w:rPr>
          <w:rFonts w:ascii="Arial" w:hAnsi="Arial" w:cs="Arial"/>
          <w:bCs/>
        </w:rPr>
        <w:t xml:space="preserve">byla stanovena na </w:t>
      </w:r>
      <w:r w:rsidR="00166C7B" w:rsidRPr="00E42AAE">
        <w:rPr>
          <w:rFonts w:ascii="Arial" w:hAnsi="Arial" w:cs="Arial"/>
          <w:bCs/>
        </w:rPr>
        <w:t>57 268</w:t>
      </w:r>
      <w:r w:rsidRPr="00E42AAE">
        <w:rPr>
          <w:rFonts w:ascii="Arial" w:hAnsi="Arial" w:cs="Arial"/>
          <w:bCs/>
        </w:rPr>
        <w:t xml:space="preserve"> USD (cca 1 2</w:t>
      </w:r>
      <w:r w:rsidR="00166C7B" w:rsidRPr="00E42AAE">
        <w:rPr>
          <w:rFonts w:ascii="Arial" w:hAnsi="Arial" w:cs="Arial"/>
          <w:bCs/>
        </w:rPr>
        <w:t>11</w:t>
      </w:r>
      <w:r w:rsidRPr="00E42AAE">
        <w:rPr>
          <w:rFonts w:ascii="Arial" w:hAnsi="Arial" w:cs="Arial"/>
          <w:bCs/>
        </w:rPr>
        <w:t xml:space="preserve"> 7</w:t>
      </w:r>
      <w:r w:rsidR="00166C7B" w:rsidRPr="00E42AAE">
        <w:rPr>
          <w:rFonts w:ascii="Arial" w:hAnsi="Arial" w:cs="Arial"/>
          <w:bCs/>
        </w:rPr>
        <w:t>91</w:t>
      </w:r>
      <w:r w:rsidRPr="00E42AAE">
        <w:rPr>
          <w:rFonts w:ascii="Arial" w:hAnsi="Arial" w:cs="Arial"/>
          <w:bCs/>
        </w:rPr>
        <w:t xml:space="preserve"> Kč bez DPH</w:t>
      </w:r>
      <w:r w:rsidR="00A21964">
        <w:rPr>
          <w:rFonts w:ascii="Arial" w:hAnsi="Arial" w:cs="Arial"/>
          <w:bCs/>
        </w:rPr>
        <w:t>)</w:t>
      </w:r>
      <w:r w:rsidRPr="00FB1B27">
        <w:rPr>
          <w:rFonts w:ascii="Arial" w:hAnsi="Arial" w:cs="Arial"/>
          <w:bCs/>
        </w:rPr>
        <w:t>, a to na základě údajů a informací získaných od dodavatele na z</w:t>
      </w:r>
      <w:r>
        <w:rPr>
          <w:rFonts w:ascii="Arial" w:hAnsi="Arial" w:cs="Arial"/>
          <w:bCs/>
        </w:rPr>
        <w:t>ákladě předběžné poptávky (viz P</w:t>
      </w:r>
      <w:r w:rsidRPr="00FB1B27">
        <w:rPr>
          <w:rFonts w:ascii="Arial" w:hAnsi="Arial" w:cs="Arial"/>
          <w:bCs/>
        </w:rPr>
        <w:t>říloha 2</w:t>
      </w:r>
      <w:r w:rsidR="00E42AAE">
        <w:rPr>
          <w:rFonts w:ascii="Arial" w:hAnsi="Arial" w:cs="Arial"/>
          <w:bCs/>
        </w:rPr>
        <w:t>.</w:t>
      </w:r>
      <w:r w:rsidRPr="00FB1B27">
        <w:rPr>
          <w:rFonts w:ascii="Arial" w:hAnsi="Arial" w:cs="Arial"/>
          <w:bCs/>
        </w:rPr>
        <w:t>). Dodavatel bude vybrán formou jednacího řízení bez uveřejnění.</w:t>
      </w:r>
    </w:p>
    <w:p w14:paraId="42AB77A6" w14:textId="12DE15D4" w:rsidR="000C4996" w:rsidRPr="00FB1B27" w:rsidRDefault="000C4996" w:rsidP="000C4996">
      <w:pPr>
        <w:spacing w:after="120"/>
        <w:jc w:val="both"/>
        <w:rPr>
          <w:rFonts w:ascii="Arial" w:hAnsi="Arial" w:cs="Arial"/>
          <w:bCs/>
        </w:rPr>
      </w:pPr>
      <w:r w:rsidRPr="00FB1B27">
        <w:rPr>
          <w:rFonts w:ascii="Arial" w:hAnsi="Arial" w:cs="Arial"/>
          <w:bCs/>
        </w:rPr>
        <w:t>Veřejná zakázka bude zadána v</w:t>
      </w:r>
      <w:r>
        <w:rPr>
          <w:rFonts w:ascii="Arial" w:hAnsi="Arial" w:cs="Arial"/>
          <w:bCs/>
        </w:rPr>
        <w:t> </w:t>
      </w:r>
      <w:r w:rsidRPr="00FB1B27">
        <w:rPr>
          <w:rFonts w:ascii="Arial" w:hAnsi="Arial" w:cs="Arial"/>
          <w:bCs/>
        </w:rPr>
        <w:t xml:space="preserve">jednacím řízení bez uveřejnění společnosti </w:t>
      </w:r>
      <w:proofErr w:type="spellStart"/>
      <w:r w:rsidRPr="00FB1B27">
        <w:rPr>
          <w:rFonts w:ascii="Arial" w:hAnsi="Arial" w:cs="Arial"/>
          <w:bCs/>
        </w:rPr>
        <w:t>Clarivate</w:t>
      </w:r>
      <w:proofErr w:type="spellEnd"/>
      <w:r w:rsidRPr="00FB1B27">
        <w:rPr>
          <w:rFonts w:ascii="Arial" w:hAnsi="Arial" w:cs="Arial"/>
          <w:bCs/>
        </w:rPr>
        <w:t xml:space="preserve"> </w:t>
      </w:r>
      <w:proofErr w:type="spellStart"/>
      <w:r w:rsidRPr="00FB1B27">
        <w:rPr>
          <w:rFonts w:ascii="Arial" w:hAnsi="Arial" w:cs="Arial"/>
          <w:bCs/>
        </w:rPr>
        <w:t>Analytics</w:t>
      </w:r>
      <w:proofErr w:type="spellEnd"/>
      <w:r w:rsidRPr="00FB1B27">
        <w:rPr>
          <w:rFonts w:ascii="Arial" w:hAnsi="Arial" w:cs="Arial"/>
          <w:bCs/>
        </w:rPr>
        <w:t xml:space="preserve">. Zvolený dodavatel je jediným vlastníkem požadované databáze. Licenční podmínky společnosti </w:t>
      </w:r>
      <w:proofErr w:type="spellStart"/>
      <w:r w:rsidRPr="00FB1B27">
        <w:rPr>
          <w:rFonts w:ascii="Arial" w:hAnsi="Arial" w:cs="Arial"/>
          <w:bCs/>
        </w:rPr>
        <w:t>Clarivate</w:t>
      </w:r>
      <w:proofErr w:type="spellEnd"/>
      <w:r w:rsidRPr="00FB1B27">
        <w:rPr>
          <w:rFonts w:ascii="Arial" w:hAnsi="Arial" w:cs="Arial"/>
          <w:bCs/>
        </w:rPr>
        <w:t xml:space="preserve"> </w:t>
      </w:r>
      <w:proofErr w:type="spellStart"/>
      <w:r w:rsidRPr="00FB1B27">
        <w:rPr>
          <w:rFonts w:ascii="Arial" w:hAnsi="Arial" w:cs="Arial"/>
          <w:bCs/>
        </w:rPr>
        <w:t>Analytics</w:t>
      </w:r>
      <w:proofErr w:type="spellEnd"/>
      <w:r w:rsidRPr="00FB1B27">
        <w:rPr>
          <w:rFonts w:ascii="Arial" w:hAnsi="Arial" w:cs="Arial"/>
          <w:bCs/>
        </w:rPr>
        <w:t xml:space="preserve"> a technické důvody neumožňují poskytnout tyto údaje jiným dodavatelem. Požadované údaje žádný jiný subjekt nevlastní ani nedodává, je tedy naplněna podmínka pro postup podle ustanovení § 63 odst. 3 písm. b) zákona o veřejných zakázkách. Variantní řešení, že by nákup dat a jejich analýza mohla být zprostředkována třetí stranou, bylo též zváženo. Detailnější odůvodnění, proč se jako nejlepší řešení jeví nákup dat přímo u společnosti </w:t>
      </w:r>
      <w:proofErr w:type="spellStart"/>
      <w:r w:rsidRPr="00FB1B27">
        <w:rPr>
          <w:rFonts w:ascii="Arial" w:hAnsi="Arial" w:cs="Arial"/>
          <w:bCs/>
        </w:rPr>
        <w:t>Clarivate</w:t>
      </w:r>
      <w:proofErr w:type="spellEnd"/>
      <w:r w:rsidRPr="00FB1B27">
        <w:rPr>
          <w:rFonts w:ascii="Arial" w:hAnsi="Arial" w:cs="Arial"/>
          <w:bCs/>
        </w:rPr>
        <w:t xml:space="preserve"> </w:t>
      </w:r>
      <w:proofErr w:type="spellStart"/>
      <w:r w:rsidRPr="00FB1B27">
        <w:rPr>
          <w:rFonts w:ascii="Arial" w:hAnsi="Arial" w:cs="Arial"/>
          <w:bCs/>
        </w:rPr>
        <w:t>Analytics</w:t>
      </w:r>
      <w:proofErr w:type="spellEnd"/>
      <w:r w:rsidRPr="00FB1B27">
        <w:rPr>
          <w:rFonts w:ascii="Arial" w:hAnsi="Arial" w:cs="Arial"/>
          <w:bCs/>
        </w:rPr>
        <w:t xml:space="preserve"> a jejich zpracování Odborem </w:t>
      </w:r>
      <w:r w:rsidR="00E42AAE">
        <w:rPr>
          <w:rFonts w:ascii="Arial" w:hAnsi="Arial" w:cs="Arial"/>
          <w:bCs/>
        </w:rPr>
        <w:t>podpory RVVI</w:t>
      </w:r>
      <w:r w:rsidRPr="00FB1B27">
        <w:rPr>
          <w:rFonts w:ascii="Arial" w:hAnsi="Arial" w:cs="Arial"/>
          <w:bCs/>
        </w:rPr>
        <w:t xml:space="preserve"> je následující: </w:t>
      </w:r>
    </w:p>
    <w:p w14:paraId="4719E795" w14:textId="54E2F3EB" w:rsidR="000C4996" w:rsidRPr="00FB1B27" w:rsidRDefault="000C4996" w:rsidP="000C4996">
      <w:pPr>
        <w:spacing w:after="120"/>
        <w:jc w:val="both"/>
        <w:rPr>
          <w:rFonts w:ascii="Arial" w:hAnsi="Arial" w:cs="Arial"/>
          <w:bCs/>
        </w:rPr>
      </w:pPr>
      <w:r w:rsidRPr="00FB1B27">
        <w:rPr>
          <w:rFonts w:ascii="Arial" w:hAnsi="Arial" w:cs="Arial"/>
          <w:bCs/>
          <w:i/>
        </w:rPr>
        <w:t>Zajištění správnosti a nezpochybnitelnosti údajů</w:t>
      </w:r>
      <w:r w:rsidRPr="00FB1B27">
        <w:rPr>
          <w:rFonts w:ascii="Arial" w:hAnsi="Arial" w:cs="Arial"/>
          <w:bCs/>
        </w:rPr>
        <w:t xml:space="preserve">. Databázový systém společnosti </w:t>
      </w:r>
      <w:proofErr w:type="spellStart"/>
      <w:r w:rsidRPr="00FB1B27">
        <w:rPr>
          <w:rFonts w:ascii="Arial" w:hAnsi="Arial" w:cs="Arial"/>
          <w:bCs/>
        </w:rPr>
        <w:t>Clarivate</w:t>
      </w:r>
      <w:proofErr w:type="spellEnd"/>
      <w:r w:rsidRPr="00FB1B27">
        <w:rPr>
          <w:rFonts w:ascii="Arial" w:hAnsi="Arial" w:cs="Arial"/>
          <w:bCs/>
        </w:rPr>
        <w:t xml:space="preserve"> </w:t>
      </w:r>
      <w:proofErr w:type="spellStart"/>
      <w:r w:rsidRPr="00FB1B27">
        <w:rPr>
          <w:rFonts w:ascii="Arial" w:hAnsi="Arial" w:cs="Arial"/>
          <w:bCs/>
        </w:rPr>
        <w:t>Analytics</w:t>
      </w:r>
      <w:proofErr w:type="spellEnd"/>
      <w:r w:rsidRPr="00FB1B27">
        <w:rPr>
          <w:rFonts w:ascii="Arial" w:hAnsi="Arial" w:cs="Arial"/>
          <w:bCs/>
        </w:rPr>
        <w:t xml:space="preserve"> je složen z</w:t>
      </w:r>
      <w:r>
        <w:rPr>
          <w:rFonts w:ascii="Arial" w:hAnsi="Arial" w:cs="Arial"/>
          <w:bCs/>
        </w:rPr>
        <w:t> </w:t>
      </w:r>
      <w:r w:rsidRPr="00FB1B27">
        <w:rPr>
          <w:rFonts w:ascii="Arial" w:hAnsi="Arial" w:cs="Arial"/>
          <w:bCs/>
        </w:rPr>
        <w:t>dílčích databází sloužících k</w:t>
      </w:r>
      <w:r>
        <w:rPr>
          <w:rFonts w:ascii="Arial" w:hAnsi="Arial" w:cs="Arial"/>
          <w:bCs/>
        </w:rPr>
        <w:t> </w:t>
      </w:r>
      <w:r w:rsidRPr="00FB1B27">
        <w:rPr>
          <w:rFonts w:ascii="Arial" w:hAnsi="Arial" w:cs="Arial"/>
          <w:bCs/>
        </w:rPr>
        <w:t>odlišným účelům. Požadavky na </w:t>
      </w:r>
      <w:proofErr w:type="spellStart"/>
      <w:r w:rsidRPr="00FB1B27">
        <w:rPr>
          <w:rFonts w:ascii="Arial" w:hAnsi="Arial" w:cs="Arial"/>
          <w:bCs/>
        </w:rPr>
        <w:t>bibliometrickou</w:t>
      </w:r>
      <w:proofErr w:type="spellEnd"/>
      <w:r w:rsidRPr="00FB1B27">
        <w:rPr>
          <w:rFonts w:ascii="Arial" w:hAnsi="Arial" w:cs="Arial"/>
          <w:bCs/>
        </w:rPr>
        <w:t xml:space="preserve"> analýzu pro hodnocení v</w:t>
      </w:r>
      <w:r>
        <w:rPr>
          <w:rFonts w:ascii="Arial" w:hAnsi="Arial" w:cs="Arial"/>
          <w:bCs/>
        </w:rPr>
        <w:t> </w:t>
      </w:r>
      <w:r w:rsidRPr="00FB1B27">
        <w:rPr>
          <w:rFonts w:ascii="Arial" w:hAnsi="Arial" w:cs="Arial"/>
          <w:bCs/>
        </w:rPr>
        <w:t xml:space="preserve">roce </w:t>
      </w:r>
      <w:r w:rsidR="00C93C77">
        <w:rPr>
          <w:rFonts w:ascii="Arial" w:hAnsi="Arial" w:cs="Arial"/>
          <w:bCs/>
        </w:rPr>
        <w:t>2025</w:t>
      </w:r>
      <w:r w:rsidR="00C93C77" w:rsidRPr="00FB1B27">
        <w:rPr>
          <w:rFonts w:ascii="Arial" w:hAnsi="Arial" w:cs="Arial"/>
          <w:bCs/>
        </w:rPr>
        <w:t xml:space="preserve"> </w:t>
      </w:r>
      <w:r w:rsidRPr="00FB1B27">
        <w:rPr>
          <w:rFonts w:ascii="Arial" w:hAnsi="Arial" w:cs="Arial"/>
          <w:bCs/>
        </w:rPr>
        <w:t>vyžadují specifické propojení dat z</w:t>
      </w:r>
      <w:r>
        <w:rPr>
          <w:rFonts w:ascii="Arial" w:hAnsi="Arial" w:cs="Arial"/>
          <w:bCs/>
        </w:rPr>
        <w:t> </w:t>
      </w:r>
      <w:r w:rsidRPr="00FB1B27">
        <w:rPr>
          <w:rFonts w:ascii="Arial" w:hAnsi="Arial" w:cs="Arial"/>
          <w:bCs/>
        </w:rPr>
        <w:t xml:space="preserve">těchto jednotlivých subsystémů. Společnost </w:t>
      </w:r>
      <w:proofErr w:type="spellStart"/>
      <w:r w:rsidRPr="00FB1B27">
        <w:rPr>
          <w:rFonts w:ascii="Arial" w:hAnsi="Arial" w:cs="Arial"/>
          <w:bCs/>
        </w:rPr>
        <w:t>Clarivate</w:t>
      </w:r>
      <w:proofErr w:type="spellEnd"/>
      <w:r w:rsidRPr="00FB1B27">
        <w:rPr>
          <w:rFonts w:ascii="Arial" w:hAnsi="Arial" w:cs="Arial"/>
          <w:bCs/>
        </w:rPr>
        <w:t xml:space="preserve"> </w:t>
      </w:r>
      <w:proofErr w:type="spellStart"/>
      <w:r w:rsidRPr="00FB1B27">
        <w:rPr>
          <w:rFonts w:ascii="Arial" w:hAnsi="Arial" w:cs="Arial"/>
          <w:bCs/>
        </w:rPr>
        <w:t>Analytics</w:t>
      </w:r>
      <w:proofErr w:type="spellEnd"/>
      <w:r w:rsidRPr="00FB1B27">
        <w:rPr>
          <w:rFonts w:ascii="Arial" w:hAnsi="Arial" w:cs="Arial"/>
          <w:bCs/>
        </w:rPr>
        <w:t xml:space="preserve"> zajistí, aby došlo ke správnému spojení a jako vlastník a provozovatel celého databázového systému tuto správnost může též unikátně zkontrolovat. Dále disponuje nástroji k</w:t>
      </w:r>
      <w:r>
        <w:rPr>
          <w:rFonts w:ascii="Arial" w:hAnsi="Arial" w:cs="Arial"/>
          <w:bCs/>
        </w:rPr>
        <w:t> </w:t>
      </w:r>
      <w:r w:rsidRPr="00FB1B27">
        <w:rPr>
          <w:rFonts w:ascii="Arial" w:hAnsi="Arial" w:cs="Arial"/>
          <w:bCs/>
        </w:rPr>
        <w:t>vyčištění vzniklých dat, a to s</w:t>
      </w:r>
      <w:r>
        <w:rPr>
          <w:rFonts w:ascii="Arial" w:hAnsi="Arial" w:cs="Arial"/>
          <w:bCs/>
        </w:rPr>
        <w:t> </w:t>
      </w:r>
      <w:r w:rsidRPr="00FB1B27">
        <w:rPr>
          <w:rFonts w:ascii="Arial" w:hAnsi="Arial" w:cs="Arial"/>
          <w:bCs/>
        </w:rPr>
        <w:t>příslušnou autoritou provozovatele databáze, která vyloučí možnost zpochybnění podkladů z</w:t>
      </w:r>
      <w:r>
        <w:rPr>
          <w:rFonts w:ascii="Arial" w:hAnsi="Arial" w:cs="Arial"/>
          <w:bCs/>
        </w:rPr>
        <w:t> </w:t>
      </w:r>
      <w:r w:rsidRPr="00FB1B27">
        <w:rPr>
          <w:rFonts w:ascii="Arial" w:hAnsi="Arial" w:cs="Arial"/>
          <w:bCs/>
        </w:rPr>
        <w:t>důvodu následných úprav. V</w:t>
      </w:r>
      <w:r>
        <w:rPr>
          <w:rFonts w:ascii="Arial" w:hAnsi="Arial" w:cs="Arial"/>
          <w:bCs/>
        </w:rPr>
        <w:t> </w:t>
      </w:r>
      <w:r w:rsidRPr="00FB1B27">
        <w:rPr>
          <w:rFonts w:ascii="Arial" w:hAnsi="Arial" w:cs="Arial"/>
          <w:bCs/>
        </w:rPr>
        <w:t>neposlední řadě vlastník a provozovatel databáze zaručí, že údaje budou aktuální k</w:t>
      </w:r>
      <w:r>
        <w:rPr>
          <w:rFonts w:ascii="Arial" w:hAnsi="Arial" w:cs="Arial"/>
          <w:bCs/>
        </w:rPr>
        <w:t> </w:t>
      </w:r>
      <w:r w:rsidRPr="00FB1B27">
        <w:rPr>
          <w:rFonts w:ascii="Arial" w:hAnsi="Arial" w:cs="Arial"/>
          <w:bCs/>
        </w:rPr>
        <w:t>datu plnění zakázky, čímž bude odstraněna možnost zpochybňování podkladů související s</w:t>
      </w:r>
      <w:r>
        <w:rPr>
          <w:rFonts w:ascii="Arial" w:hAnsi="Arial" w:cs="Arial"/>
          <w:bCs/>
        </w:rPr>
        <w:t> </w:t>
      </w:r>
      <w:r w:rsidRPr="00FB1B27">
        <w:rPr>
          <w:rFonts w:ascii="Arial" w:hAnsi="Arial" w:cs="Arial"/>
          <w:bCs/>
        </w:rPr>
        <w:t>kontinuálním proměňováním obsahu databází v</w:t>
      </w:r>
      <w:r>
        <w:rPr>
          <w:rFonts w:ascii="Arial" w:hAnsi="Arial" w:cs="Arial"/>
          <w:bCs/>
        </w:rPr>
        <w:t> </w:t>
      </w:r>
      <w:r w:rsidRPr="00FB1B27">
        <w:rPr>
          <w:rFonts w:ascii="Arial" w:hAnsi="Arial" w:cs="Arial"/>
          <w:bCs/>
        </w:rPr>
        <w:t>čase. V</w:t>
      </w:r>
      <w:r>
        <w:rPr>
          <w:rFonts w:ascii="Arial" w:hAnsi="Arial" w:cs="Arial"/>
          <w:bCs/>
        </w:rPr>
        <w:t> </w:t>
      </w:r>
      <w:r w:rsidRPr="00FB1B27">
        <w:rPr>
          <w:rFonts w:ascii="Arial" w:hAnsi="Arial" w:cs="Arial"/>
          <w:bCs/>
        </w:rPr>
        <w:t>případě realizace zakázky třetí stranou by nebyly zajištěny výše zmíněné výhody (správnost a nezpochybnitelnost podkladů)</w:t>
      </w:r>
      <w:r>
        <w:rPr>
          <w:rFonts w:ascii="Arial" w:hAnsi="Arial" w:cs="Arial"/>
          <w:bCs/>
        </w:rPr>
        <w:t>.</w:t>
      </w:r>
      <w:r w:rsidRPr="00FB1B27">
        <w:rPr>
          <w:rFonts w:ascii="Arial" w:hAnsi="Arial" w:cs="Arial"/>
          <w:bCs/>
        </w:rPr>
        <w:t xml:space="preserve"> </w:t>
      </w:r>
    </w:p>
    <w:p w14:paraId="47D61585" w14:textId="6CF811EC" w:rsidR="000C4996" w:rsidRPr="00FB1B27" w:rsidRDefault="000C4996" w:rsidP="000C4996">
      <w:pPr>
        <w:spacing w:after="120"/>
        <w:jc w:val="both"/>
        <w:rPr>
          <w:rFonts w:ascii="Arial" w:hAnsi="Arial" w:cs="Arial"/>
          <w:bCs/>
        </w:rPr>
      </w:pPr>
      <w:r w:rsidRPr="00FB1B27">
        <w:rPr>
          <w:rFonts w:ascii="Arial" w:hAnsi="Arial" w:cs="Arial"/>
          <w:bCs/>
          <w:i/>
        </w:rPr>
        <w:t xml:space="preserve">Nemožnost </w:t>
      </w:r>
      <w:proofErr w:type="spellStart"/>
      <w:r w:rsidRPr="00FB1B27">
        <w:rPr>
          <w:rFonts w:ascii="Arial" w:hAnsi="Arial" w:cs="Arial"/>
          <w:bCs/>
          <w:i/>
        </w:rPr>
        <w:t>přeprodeje</w:t>
      </w:r>
      <w:proofErr w:type="spellEnd"/>
      <w:r w:rsidRPr="00FB1B27">
        <w:rPr>
          <w:rFonts w:ascii="Arial" w:hAnsi="Arial" w:cs="Arial"/>
          <w:bCs/>
          <w:i/>
        </w:rPr>
        <w:t xml:space="preserve"> dat v rámci standardních licenčních podmínek</w:t>
      </w:r>
      <w:r w:rsidRPr="00FB1B27">
        <w:rPr>
          <w:rFonts w:ascii="Arial" w:hAnsi="Arial" w:cs="Arial"/>
          <w:bCs/>
        </w:rPr>
        <w:t>. Obecné znění licenčních podmínek nedovoluje předávání dat třetím stranám</w:t>
      </w:r>
      <w:r w:rsidR="00E42AAE">
        <w:rPr>
          <w:rFonts w:ascii="Arial" w:hAnsi="Arial" w:cs="Arial"/>
          <w:bCs/>
        </w:rPr>
        <w:t>,</w:t>
      </w:r>
      <w:r w:rsidRPr="00FB1B27">
        <w:rPr>
          <w:rFonts w:ascii="Arial" w:hAnsi="Arial" w:cs="Arial"/>
          <w:bCs/>
        </w:rPr>
        <w:t xml:space="preserve"> a i z tohoto důvodu zapovídá jejich stahování ve velkém objemu, přičemž tento objem není specifikován a je na uvážení společnosti </w:t>
      </w:r>
      <w:proofErr w:type="spellStart"/>
      <w:r w:rsidRPr="00FB1B27">
        <w:rPr>
          <w:rFonts w:ascii="Arial" w:hAnsi="Arial" w:cs="Arial"/>
          <w:bCs/>
        </w:rPr>
        <w:t>Clarivate</w:t>
      </w:r>
      <w:proofErr w:type="spellEnd"/>
      <w:r w:rsidRPr="00FB1B27">
        <w:rPr>
          <w:rFonts w:ascii="Arial" w:hAnsi="Arial" w:cs="Arial"/>
          <w:bCs/>
        </w:rPr>
        <w:t xml:space="preserve"> </w:t>
      </w:r>
      <w:proofErr w:type="spellStart"/>
      <w:r w:rsidRPr="00FB1B27">
        <w:rPr>
          <w:rFonts w:ascii="Arial" w:hAnsi="Arial" w:cs="Arial"/>
          <w:bCs/>
        </w:rPr>
        <w:t>Analytics</w:t>
      </w:r>
      <w:proofErr w:type="spellEnd"/>
      <w:r w:rsidRPr="00FB1B27">
        <w:rPr>
          <w:rFonts w:ascii="Arial" w:hAnsi="Arial" w:cs="Arial"/>
          <w:bCs/>
        </w:rPr>
        <w:t xml:space="preserve"> (viz příloha 2 </w:t>
      </w:r>
      <w:proofErr w:type="spellStart"/>
      <w:r w:rsidRPr="00DB0CC6">
        <w:rPr>
          <w:rFonts w:ascii="Arial" w:hAnsi="Arial" w:cs="Arial"/>
          <w:bCs/>
        </w:rPr>
        <w:t>Clarivate</w:t>
      </w:r>
      <w:proofErr w:type="spellEnd"/>
      <w:r w:rsidRPr="00DB0CC6">
        <w:rPr>
          <w:rFonts w:ascii="Arial" w:hAnsi="Arial" w:cs="Arial"/>
          <w:bCs/>
        </w:rPr>
        <w:t xml:space="preserve"> </w:t>
      </w:r>
      <w:proofErr w:type="spellStart"/>
      <w:r w:rsidRPr="00DB0CC6">
        <w:rPr>
          <w:rFonts w:ascii="Arial" w:hAnsi="Arial" w:cs="Arial"/>
          <w:bCs/>
        </w:rPr>
        <w:t>Analytics</w:t>
      </w:r>
      <w:proofErr w:type="spellEnd"/>
      <w:r w:rsidRPr="00DB0CC6">
        <w:rPr>
          <w:rFonts w:ascii="Arial" w:hAnsi="Arial" w:cs="Arial"/>
          <w:bCs/>
        </w:rPr>
        <w:t xml:space="preserve"> </w:t>
      </w:r>
      <w:proofErr w:type="spellStart"/>
      <w:r w:rsidRPr="00DB0CC6">
        <w:rPr>
          <w:rFonts w:ascii="Arial" w:hAnsi="Arial" w:cs="Arial"/>
          <w:bCs/>
        </w:rPr>
        <w:t>Terms</w:t>
      </w:r>
      <w:proofErr w:type="spellEnd"/>
      <w:r w:rsidRPr="00DB0CC6">
        <w:rPr>
          <w:rFonts w:ascii="Arial" w:hAnsi="Arial" w:cs="Arial"/>
          <w:bCs/>
        </w:rPr>
        <w:t xml:space="preserve"> </w:t>
      </w:r>
      <w:proofErr w:type="spellStart"/>
      <w:r w:rsidRPr="00DB0CC6">
        <w:rPr>
          <w:rFonts w:ascii="Arial" w:hAnsi="Arial" w:cs="Arial"/>
          <w:bCs/>
        </w:rPr>
        <w:lastRenderedPageBreak/>
        <w:t>of</w:t>
      </w:r>
      <w:proofErr w:type="spellEnd"/>
      <w:r w:rsidRPr="00DB0CC6">
        <w:rPr>
          <w:rFonts w:ascii="Arial" w:hAnsi="Arial" w:cs="Arial"/>
          <w:bCs/>
        </w:rPr>
        <w:t xml:space="preserve"> Use</w:t>
      </w:r>
      <w:r w:rsidRPr="00FB1B27">
        <w:rPr>
          <w:rFonts w:ascii="Arial" w:hAnsi="Arial" w:cs="Arial"/>
          <w:bCs/>
        </w:rPr>
        <w:t xml:space="preserve">). Legitimní objem dat je licenčně svázán s </w:t>
      </w:r>
      <w:proofErr w:type="spellStart"/>
      <w:r w:rsidRPr="00FB1B27">
        <w:rPr>
          <w:rFonts w:ascii="Arial" w:hAnsi="Arial" w:cs="Arial"/>
          <w:bCs/>
        </w:rPr>
        <w:t>dovoditelnými</w:t>
      </w:r>
      <w:proofErr w:type="spellEnd"/>
      <w:r w:rsidRPr="00FB1B27">
        <w:rPr>
          <w:rFonts w:ascii="Arial" w:hAnsi="Arial" w:cs="Arial"/>
          <w:bCs/>
        </w:rPr>
        <w:t xml:space="preserve"> potřebami uživatele služeb. Zajištění podkladů pro národní hodnocení, jejichž objem je enormní, je z povahy věci vázáno na orgán, který je tímto úkolem pověřen (RVVI), žádná jiná instituce tuto přímou legitimitu nemá. </w:t>
      </w:r>
    </w:p>
    <w:p w14:paraId="7B0479B6" w14:textId="77777777" w:rsidR="000C4996" w:rsidRPr="00FB1B27" w:rsidRDefault="000C4996" w:rsidP="000C4996">
      <w:pPr>
        <w:spacing w:after="120"/>
        <w:jc w:val="both"/>
        <w:rPr>
          <w:rFonts w:ascii="Arial" w:hAnsi="Arial" w:cs="Arial"/>
          <w:bCs/>
        </w:rPr>
      </w:pPr>
      <w:r w:rsidRPr="00FB1B27">
        <w:rPr>
          <w:rFonts w:ascii="Arial" w:hAnsi="Arial" w:cs="Arial"/>
          <w:bCs/>
          <w:i/>
        </w:rPr>
        <w:t>Neekonomičnost a neefektivnost</w:t>
      </w:r>
      <w:r w:rsidRPr="00FB1B27">
        <w:rPr>
          <w:rFonts w:ascii="Arial" w:hAnsi="Arial" w:cs="Arial"/>
          <w:bCs/>
        </w:rPr>
        <w:t xml:space="preserve">. Obejití základních licenčních podmínek zadáním zakázky pro zhotovení kompletní analýzy třetí stranou je možné za podmínky že subjekt vyjedná se společností </w:t>
      </w:r>
      <w:proofErr w:type="spellStart"/>
      <w:r w:rsidRPr="00FB1B27">
        <w:rPr>
          <w:rFonts w:ascii="Arial" w:hAnsi="Arial" w:cs="Arial"/>
          <w:bCs/>
        </w:rPr>
        <w:t>Clarivate</w:t>
      </w:r>
      <w:proofErr w:type="spellEnd"/>
      <w:r w:rsidRPr="00FB1B27">
        <w:rPr>
          <w:rFonts w:ascii="Arial" w:hAnsi="Arial" w:cs="Arial"/>
          <w:bCs/>
        </w:rPr>
        <w:t xml:space="preserve"> </w:t>
      </w:r>
      <w:proofErr w:type="spellStart"/>
      <w:r w:rsidRPr="00FB1B27">
        <w:rPr>
          <w:rFonts w:ascii="Arial" w:hAnsi="Arial" w:cs="Arial"/>
          <w:bCs/>
        </w:rPr>
        <w:t>Analytics</w:t>
      </w:r>
      <w:proofErr w:type="spellEnd"/>
      <w:r w:rsidRPr="00FB1B27">
        <w:rPr>
          <w:rFonts w:ascii="Arial" w:hAnsi="Arial" w:cs="Arial"/>
          <w:bCs/>
        </w:rPr>
        <w:t xml:space="preserve"> speciální licenci za účelem komercionalizace dat. Náklady na takovou licenci by třetí subjekt musel promítnout do ceny, což by významně zvýšilo náklady na hodnocení. Zapojení třetího subjektu se jeví jako neekonomické a neefektivní i z dalších souvisejících důvodů. </w:t>
      </w:r>
    </w:p>
    <w:p w14:paraId="75BE389E" w14:textId="77777777" w:rsidR="000C4996" w:rsidRPr="00FB1B27" w:rsidRDefault="000C4996" w:rsidP="000C4996">
      <w:pPr>
        <w:numPr>
          <w:ilvl w:val="0"/>
          <w:numId w:val="26"/>
        </w:numPr>
        <w:spacing w:after="120" w:line="276" w:lineRule="auto"/>
        <w:jc w:val="both"/>
        <w:rPr>
          <w:rFonts w:ascii="Arial" w:hAnsi="Arial" w:cs="Arial"/>
          <w:bCs/>
        </w:rPr>
      </w:pPr>
      <w:r w:rsidRPr="00FB1B27">
        <w:rPr>
          <w:rFonts w:ascii="Arial" w:hAnsi="Arial" w:cs="Arial"/>
          <w:bCs/>
          <w:i/>
        </w:rPr>
        <w:t>Objem dodatečné podpůrné práce nelze předem predikovat</w:t>
      </w:r>
      <w:r w:rsidRPr="00FB1B27">
        <w:rPr>
          <w:rFonts w:ascii="Arial" w:hAnsi="Arial" w:cs="Arial"/>
          <w:bCs/>
        </w:rPr>
        <w:t xml:space="preserve">. Hodnotící panely mají právo vyžádat si v průběhu hodnocení další analytické podklady (například analýzy podle odlišné oborové klasifikace, modelové příklady s odlišnými datovými sadami apod.). Odborné panely též kontrolují věcnou správnost výstupů a mají možnost metodicky sporné parametry či výstupy nechat opravit. To vše významně zvyšuje celkovou </w:t>
      </w:r>
      <w:proofErr w:type="spellStart"/>
      <w:r w:rsidRPr="00FB1B27">
        <w:rPr>
          <w:rFonts w:ascii="Arial" w:hAnsi="Arial" w:cs="Arial"/>
          <w:bCs/>
        </w:rPr>
        <w:t>nepredikovatelnost</w:t>
      </w:r>
      <w:proofErr w:type="spellEnd"/>
      <w:r w:rsidRPr="00FB1B27">
        <w:rPr>
          <w:rFonts w:ascii="Arial" w:hAnsi="Arial" w:cs="Arial"/>
          <w:bCs/>
        </w:rPr>
        <w:t xml:space="preserve"> objemu takové zakázky.</w:t>
      </w:r>
    </w:p>
    <w:p w14:paraId="1D8F0F32" w14:textId="77777777" w:rsidR="000C4996" w:rsidRPr="00FB1B27" w:rsidRDefault="000C4996" w:rsidP="000C4996">
      <w:pPr>
        <w:numPr>
          <w:ilvl w:val="0"/>
          <w:numId w:val="26"/>
        </w:numPr>
        <w:spacing w:after="240" w:line="276" w:lineRule="auto"/>
        <w:ind w:left="714" w:hanging="357"/>
        <w:jc w:val="both"/>
        <w:rPr>
          <w:rFonts w:ascii="Arial" w:hAnsi="Arial" w:cs="Arial"/>
          <w:bCs/>
        </w:rPr>
      </w:pPr>
      <w:r w:rsidRPr="00FB1B27">
        <w:rPr>
          <w:rFonts w:ascii="Arial" w:hAnsi="Arial" w:cs="Arial"/>
          <w:bCs/>
          <w:i/>
        </w:rPr>
        <w:t>Riziko kritického zpoždění hodnocení.</w:t>
      </w:r>
      <w:r w:rsidRPr="00FB1B27">
        <w:rPr>
          <w:rFonts w:ascii="Arial" w:hAnsi="Arial" w:cs="Arial"/>
          <w:bCs/>
        </w:rPr>
        <w:t xml:space="preserve"> Odbor podpory Rady pro výzkum, vývoj a inovace kontinuálně vyvíjí nástroje pro analýzu a prezentaci dat přesně dle požadavků na podobu bibliometrického hodnocení. Nástroje vyvíjené Odborem jsou vázány na příslušný software, tudíž bezproblémové předání třetí straně, nelze zaručit. Třetí strana by pravděpodobně musela vyvíjet vlastní nástroje, protože generický program pro potřeby národního hodnocení neexistuje. Nejenže by vývoj vlastního software znamenal navýšení ceny, ale vstup třetího subjektu v každém případě znamená vysoké riziko kritického zpoždění hodnocení, neboť se jedná o netriviální úkol velkého rozsahu s problematickým transferem softwarových nástrojů a know-how.  </w:t>
      </w:r>
    </w:p>
    <w:p w14:paraId="1446A624" w14:textId="5F9D2CE9" w:rsidR="000C4996" w:rsidRPr="00FB1B27" w:rsidRDefault="000C4996" w:rsidP="000C4996">
      <w:pPr>
        <w:spacing w:after="240"/>
        <w:jc w:val="both"/>
        <w:rPr>
          <w:rFonts w:ascii="Arial" w:hAnsi="Arial" w:cs="Arial"/>
          <w:bCs/>
        </w:rPr>
      </w:pPr>
      <w:r w:rsidRPr="00FB1B27">
        <w:rPr>
          <w:rFonts w:ascii="Arial" w:hAnsi="Arial" w:cs="Arial"/>
          <w:bCs/>
        </w:rPr>
        <w:t>Předpokládaný</w:t>
      </w:r>
      <w:r w:rsidRPr="00FB1B27">
        <w:rPr>
          <w:rFonts w:ascii="Arial" w:hAnsi="Arial" w:cs="Arial"/>
          <w:b/>
          <w:bCs/>
        </w:rPr>
        <w:t xml:space="preserve"> termín plnění</w:t>
      </w:r>
      <w:r w:rsidRPr="00FB1B27">
        <w:rPr>
          <w:rFonts w:ascii="Arial" w:hAnsi="Arial" w:cs="Arial"/>
          <w:bCs/>
        </w:rPr>
        <w:t xml:space="preserve"> předmětu veřejné zakázky je leden </w:t>
      </w:r>
      <w:r w:rsidR="0028359F">
        <w:rPr>
          <w:rFonts w:ascii="Arial" w:hAnsi="Arial" w:cs="Arial"/>
          <w:bCs/>
        </w:rPr>
        <w:t>2026</w:t>
      </w:r>
      <w:r w:rsidRPr="00FB1B27">
        <w:rPr>
          <w:rFonts w:ascii="Arial" w:hAnsi="Arial" w:cs="Arial"/>
          <w:bCs/>
        </w:rPr>
        <w:t>.</w:t>
      </w:r>
    </w:p>
    <w:p w14:paraId="756076A9" w14:textId="28E52261" w:rsidR="000C4996" w:rsidRPr="00FB1B27" w:rsidRDefault="000C4996" w:rsidP="000C4996">
      <w:pPr>
        <w:spacing w:after="120"/>
        <w:jc w:val="both"/>
        <w:rPr>
          <w:rFonts w:ascii="Arial" w:hAnsi="Arial" w:cs="Arial"/>
          <w:bCs/>
        </w:rPr>
      </w:pPr>
      <w:r w:rsidRPr="00FB1B27">
        <w:rPr>
          <w:rFonts w:ascii="Arial" w:hAnsi="Arial" w:cs="Arial"/>
          <w:bCs/>
        </w:rPr>
        <w:t>Předpokládaný</w:t>
      </w:r>
      <w:r w:rsidRPr="00FB1B27">
        <w:rPr>
          <w:rFonts w:ascii="Arial" w:hAnsi="Arial" w:cs="Arial"/>
          <w:b/>
          <w:bCs/>
        </w:rPr>
        <w:t xml:space="preserve"> termín zahájení zadávacího řízení</w:t>
      </w:r>
      <w:r w:rsidRPr="00FB1B27">
        <w:rPr>
          <w:rFonts w:ascii="Arial" w:hAnsi="Arial" w:cs="Arial"/>
          <w:bCs/>
        </w:rPr>
        <w:t xml:space="preserve">, </w:t>
      </w:r>
      <w:r w:rsidRPr="00FB1B27">
        <w:rPr>
          <w:rFonts w:ascii="Arial" w:hAnsi="Arial" w:cs="Arial"/>
          <w:b/>
          <w:bCs/>
        </w:rPr>
        <w:t xml:space="preserve">resp. uzavření smlouvy (objednávky) je prosinec </w:t>
      </w:r>
      <w:r w:rsidR="00C93C77">
        <w:rPr>
          <w:rFonts w:ascii="Arial" w:hAnsi="Arial" w:cs="Arial"/>
          <w:b/>
          <w:bCs/>
        </w:rPr>
        <w:t>2025</w:t>
      </w:r>
      <w:r w:rsidRPr="00FB1B27">
        <w:rPr>
          <w:rFonts w:ascii="Arial" w:hAnsi="Arial" w:cs="Arial"/>
          <w:b/>
          <w:bCs/>
        </w:rPr>
        <w:t>.</w:t>
      </w:r>
      <w:r w:rsidRPr="00FB1B27">
        <w:rPr>
          <w:rFonts w:ascii="Arial" w:hAnsi="Arial" w:cs="Arial"/>
          <w:bCs/>
        </w:rPr>
        <w:t xml:space="preserve"> </w:t>
      </w:r>
    </w:p>
    <w:p w14:paraId="10B52B75" w14:textId="77777777" w:rsidR="000C4996" w:rsidRPr="00FB1B27" w:rsidRDefault="000C4996" w:rsidP="000C4996">
      <w:pPr>
        <w:spacing w:after="120"/>
        <w:jc w:val="both"/>
        <w:rPr>
          <w:rFonts w:ascii="Arial" w:hAnsi="Arial" w:cs="Arial"/>
        </w:rPr>
      </w:pPr>
    </w:p>
    <w:p w14:paraId="1150D6F0" w14:textId="5C9566DC" w:rsidR="000C4996" w:rsidRPr="00FB1B27" w:rsidRDefault="000C4996" w:rsidP="000C4996">
      <w:pPr>
        <w:spacing w:after="120"/>
        <w:jc w:val="both"/>
        <w:rPr>
          <w:rFonts w:ascii="Arial" w:hAnsi="Arial" w:cs="Arial"/>
        </w:rPr>
      </w:pPr>
      <w:proofErr w:type="spellStart"/>
      <w:r w:rsidRPr="00FB1B27">
        <w:rPr>
          <w:rFonts w:ascii="Arial" w:hAnsi="Arial" w:cs="Arial"/>
        </w:rPr>
        <w:t>P</w:t>
      </w:r>
      <w:r w:rsidR="00E42AAE">
        <w:rPr>
          <w:rFonts w:ascii="Arial" w:hAnsi="Arial" w:cs="Arial"/>
        </w:rPr>
        <w:t>ri</w:t>
      </w:r>
      <w:r w:rsidRPr="00FB1B27">
        <w:rPr>
          <w:rFonts w:ascii="Arial" w:hAnsi="Arial" w:cs="Arial"/>
        </w:rPr>
        <w:t>loha</w:t>
      </w:r>
      <w:proofErr w:type="spellEnd"/>
      <w:r w:rsidRPr="00FB1B27">
        <w:rPr>
          <w:rFonts w:ascii="Arial" w:hAnsi="Arial" w:cs="Arial"/>
        </w:rPr>
        <w:t xml:space="preserve"> 1. Struktura dat objednávaných od </w:t>
      </w:r>
      <w:proofErr w:type="spellStart"/>
      <w:r w:rsidRPr="00FB1B27">
        <w:rPr>
          <w:rFonts w:ascii="Arial" w:hAnsi="Arial" w:cs="Arial"/>
        </w:rPr>
        <w:t>Clarivate</w:t>
      </w:r>
      <w:proofErr w:type="spellEnd"/>
      <w:r w:rsidRPr="00FB1B27">
        <w:rPr>
          <w:rFonts w:ascii="Arial" w:hAnsi="Arial" w:cs="Arial"/>
        </w:rPr>
        <w:t xml:space="preserve"> </w:t>
      </w:r>
      <w:proofErr w:type="spellStart"/>
      <w:r w:rsidRPr="00FB1B27">
        <w:rPr>
          <w:rFonts w:ascii="Arial" w:hAnsi="Arial" w:cs="Arial"/>
        </w:rPr>
        <w:t>Analytics</w:t>
      </w:r>
      <w:proofErr w:type="spellEnd"/>
    </w:p>
    <w:p w14:paraId="655267D6" w14:textId="09C07009" w:rsidR="000C4996" w:rsidRPr="00DB0CC6" w:rsidRDefault="000C4996" w:rsidP="000C4996">
      <w:pPr>
        <w:spacing w:after="120"/>
        <w:jc w:val="both"/>
        <w:rPr>
          <w:rFonts w:ascii="Arial" w:hAnsi="Arial" w:cs="Arial"/>
        </w:rPr>
      </w:pPr>
      <w:proofErr w:type="spellStart"/>
      <w:r w:rsidRPr="00DB0CC6">
        <w:rPr>
          <w:rFonts w:ascii="Arial" w:hAnsi="Arial" w:cs="Arial"/>
        </w:rPr>
        <w:t>P</w:t>
      </w:r>
      <w:r w:rsidR="00E42AAE">
        <w:rPr>
          <w:rFonts w:ascii="Arial" w:hAnsi="Arial" w:cs="Arial"/>
        </w:rPr>
        <w:t>ri</w:t>
      </w:r>
      <w:r w:rsidRPr="00DB0CC6">
        <w:rPr>
          <w:rFonts w:ascii="Arial" w:hAnsi="Arial" w:cs="Arial"/>
        </w:rPr>
        <w:t>loha</w:t>
      </w:r>
      <w:proofErr w:type="spellEnd"/>
      <w:r w:rsidRPr="00DB0CC6">
        <w:rPr>
          <w:rFonts w:ascii="Arial" w:hAnsi="Arial" w:cs="Arial"/>
        </w:rPr>
        <w:t xml:space="preserve"> 2. </w:t>
      </w:r>
      <w:r w:rsidRPr="00DB0CC6">
        <w:rPr>
          <w:rFonts w:ascii="Arial" w:hAnsi="Arial" w:cs="Arial"/>
          <w:lang w:val="en-US"/>
        </w:rPr>
        <w:t>Clarivate Terms of Use</w:t>
      </w:r>
    </w:p>
    <w:p w14:paraId="256674DB" w14:textId="10DC1331" w:rsidR="000C4996" w:rsidRDefault="00E42AAE" w:rsidP="000C4996">
      <w:pPr>
        <w:spacing w:after="120"/>
        <w:jc w:val="both"/>
        <w:rPr>
          <w:rFonts w:ascii="Arial" w:hAnsi="Arial" w:cs="Arial"/>
        </w:rPr>
      </w:pPr>
      <w:proofErr w:type="spellStart"/>
      <w:r w:rsidRPr="00DB0CC6">
        <w:rPr>
          <w:rFonts w:ascii="Arial" w:hAnsi="Arial" w:cs="Arial"/>
        </w:rPr>
        <w:t>P</w:t>
      </w:r>
      <w:r w:rsidR="005636A0">
        <w:rPr>
          <w:rFonts w:ascii="Arial" w:hAnsi="Arial" w:cs="Arial"/>
        </w:rPr>
        <w:t>ri</w:t>
      </w:r>
      <w:r w:rsidRPr="00DB0CC6">
        <w:rPr>
          <w:rFonts w:ascii="Arial" w:hAnsi="Arial" w:cs="Arial"/>
        </w:rPr>
        <w:t>loha</w:t>
      </w:r>
      <w:proofErr w:type="spellEnd"/>
      <w:r w:rsidR="000C4996" w:rsidRPr="00DB0CC6">
        <w:rPr>
          <w:rFonts w:ascii="Arial" w:hAnsi="Arial" w:cs="Arial"/>
        </w:rPr>
        <w:t xml:space="preserve"> 3. </w:t>
      </w:r>
      <w:r w:rsidR="000C4996" w:rsidRPr="00DB0CC6">
        <w:rPr>
          <w:rFonts w:ascii="Arial" w:hAnsi="Arial" w:cs="Arial"/>
          <w:lang w:val="en-US"/>
        </w:rPr>
        <w:t>Clarivate Governing Terms</w:t>
      </w:r>
    </w:p>
    <w:p w14:paraId="03DC49F3" w14:textId="77777777" w:rsidR="008D4308" w:rsidRDefault="008D4308" w:rsidP="00B13622">
      <w:pPr>
        <w:spacing w:after="240" w:line="276" w:lineRule="auto"/>
        <w:rPr>
          <w:rFonts w:ascii="Arial" w:hAnsi="Arial" w:cs="Arial"/>
          <w:b/>
          <w:color w:val="0070C0"/>
          <w:sz w:val="28"/>
          <w:szCs w:val="28"/>
        </w:rPr>
      </w:pPr>
      <w:r>
        <w:rPr>
          <w:rFonts w:ascii="Tms Rmn" w:eastAsiaTheme="minorHAnsi" w:hAnsi="Tms Rmn" w:cs="Tms Rmn"/>
          <w:color w:val="000000"/>
          <w:sz w:val="22"/>
          <w:szCs w:val="22"/>
          <w:lang w:eastAsia="en-US"/>
        </w:rPr>
        <w:t> </w:t>
      </w:r>
    </w:p>
    <w:p w14:paraId="350D94E4" w14:textId="77777777" w:rsidR="000C7099" w:rsidRPr="006C4CB9" w:rsidRDefault="000C7099" w:rsidP="00394D13">
      <w:pPr>
        <w:spacing w:after="240"/>
        <w:jc w:val="center"/>
        <w:rPr>
          <w:rFonts w:ascii="Arial" w:hAnsi="Arial" w:cs="Arial"/>
          <w:b/>
          <w:color w:val="0070C0"/>
          <w:sz w:val="28"/>
          <w:szCs w:val="28"/>
        </w:rPr>
      </w:pPr>
    </w:p>
    <w:p w14:paraId="21AB7E87" w14:textId="77777777" w:rsidR="008D3D31" w:rsidRPr="00493CD2" w:rsidRDefault="008D3D31" w:rsidP="00493CD2">
      <w:pPr>
        <w:tabs>
          <w:tab w:val="left" w:pos="2880"/>
        </w:tabs>
        <w:rPr>
          <w:rFonts w:ascii="Arial" w:eastAsiaTheme="minorHAnsi" w:hAnsi="Arial" w:cs="Arial"/>
          <w:sz w:val="22"/>
          <w:szCs w:val="22"/>
          <w:lang w:eastAsia="en-US"/>
        </w:rPr>
      </w:pPr>
    </w:p>
    <w:sectPr w:rsidR="008D3D31" w:rsidRPr="00493CD2" w:rsidSect="003C032F">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AE098" w14:textId="77777777" w:rsidR="00B120CD" w:rsidRDefault="00B120CD" w:rsidP="008F77F6">
      <w:r>
        <w:separator/>
      </w:r>
    </w:p>
  </w:endnote>
  <w:endnote w:type="continuationSeparator" w:id="0">
    <w:p w14:paraId="142E5119" w14:textId="77777777" w:rsidR="00B120CD" w:rsidRDefault="00B120C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F84B7" w14:textId="1313080C" w:rsidR="00E254A5" w:rsidRDefault="00B120CD" w:rsidP="00E254A5">
    <w:pPr>
      <w:pStyle w:val="Zpat"/>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sdt>
  </w:p>
  <w:sdt>
    <w:sdtPr>
      <w:rPr>
        <w:rFonts w:ascii="Arial" w:hAnsi="Arial" w:cs="Arial"/>
        <w:sz w:val="18"/>
        <w:szCs w:val="18"/>
      </w:rPr>
      <w:id w:val="1122730018"/>
      <w:docPartObj>
        <w:docPartGallery w:val="Page Numbers (Bottom of Page)"/>
        <w:docPartUnique/>
      </w:docPartObj>
    </w:sdtPr>
    <w:sdtEndPr/>
    <w:sdtContent>
      <w:sdt>
        <w:sdtPr>
          <w:rPr>
            <w:rFonts w:ascii="Arial" w:hAnsi="Arial" w:cs="Arial"/>
          </w:rPr>
          <w:id w:val="3491130"/>
          <w:docPartObj>
            <w:docPartGallery w:val="Page Numbers (Top of Page)"/>
            <w:docPartUnique/>
          </w:docPartObj>
        </w:sdtPr>
        <w:sdtEndPr/>
        <w:sdtContent>
          <w:p w14:paraId="799C3BE3" w14:textId="25E11B5E" w:rsidR="00ED0822" w:rsidRDefault="00E254A5" w:rsidP="00E254A5">
            <w:pPr>
              <w:pStyle w:val="Zpat"/>
              <w:rPr>
                <w:i/>
                <w:sz w:val="18"/>
                <w:szCs w:val="18"/>
              </w:rPr>
            </w:pPr>
            <w:r w:rsidRPr="00B13622">
              <w:rPr>
                <w:rFonts w:ascii="Arial" w:hAnsi="Arial" w:cs="Arial"/>
                <w:noProof/>
                <w:color w:val="002060"/>
              </w:rPr>
              <mc:AlternateContent>
                <mc:Choice Requires="wps">
                  <w:drawing>
                    <wp:anchor distT="0" distB="0" distL="114300" distR="114300" simplePos="0" relativeHeight="251657216" behindDoc="0" locked="0" layoutInCell="1" allowOverlap="1" wp14:anchorId="309193E4" wp14:editId="5BE3703D">
                      <wp:simplePos x="0" y="0"/>
                      <wp:positionH relativeFrom="margin">
                        <wp:posOffset>0</wp:posOffset>
                      </wp:positionH>
                      <wp:positionV relativeFrom="paragraph">
                        <wp:posOffset>-87366</wp:posOffset>
                      </wp:positionV>
                      <wp:extent cx="6120130" cy="0"/>
                      <wp:effectExtent l="0" t="0" r="0" b="0"/>
                      <wp:wrapNone/>
                      <wp:docPr id="1150259382"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A5919B" id="Přímá spojnice 2" o:spid="_x0000_s1026" style="position:absolute;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ED0822" w:rsidRPr="0066394B">
              <w:rPr>
                <w:i/>
                <w:noProof/>
                <w:sz w:val="18"/>
                <w:szCs w:val="18"/>
              </w:rPr>
              <mc:AlternateContent>
                <mc:Choice Requires="wps">
                  <w:drawing>
                    <wp:anchor distT="0" distB="0" distL="114300" distR="114300" simplePos="0" relativeHeight="251663360" behindDoc="0" locked="0" layoutInCell="1" allowOverlap="1" wp14:anchorId="6515C666" wp14:editId="0F692055">
                      <wp:simplePos x="0" y="0"/>
                      <wp:positionH relativeFrom="margin">
                        <wp:posOffset>0</wp:posOffset>
                      </wp:positionH>
                      <wp:positionV relativeFrom="paragraph">
                        <wp:posOffset>-87366</wp:posOffset>
                      </wp:positionV>
                      <wp:extent cx="6120130" cy="0"/>
                      <wp:effectExtent l="0" t="0" r="0" b="0"/>
                      <wp:wrapNone/>
                      <wp:docPr id="195221551"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92A954" id="Přímá spojnice 2" o:spid="_x0000_s1026" style="position:absolute;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ED0822" w:rsidRPr="00321B9D">
              <w:rPr>
                <w:i/>
                <w:sz w:val="18"/>
                <w:szCs w:val="18"/>
              </w:rPr>
              <w:t>Nákup datových podkladů z databázové platformy We</w:t>
            </w:r>
            <w:r w:rsidR="00ED0822">
              <w:rPr>
                <w:i/>
                <w:sz w:val="18"/>
                <w:szCs w:val="18"/>
              </w:rPr>
              <w:t xml:space="preserve">b </w:t>
            </w:r>
            <w:proofErr w:type="spellStart"/>
            <w:r w:rsidR="00ED0822">
              <w:rPr>
                <w:i/>
                <w:sz w:val="18"/>
                <w:szCs w:val="18"/>
              </w:rPr>
              <w:t>of</w:t>
            </w:r>
            <w:proofErr w:type="spellEnd"/>
            <w:r w:rsidR="00ED0822">
              <w:rPr>
                <w:i/>
                <w:sz w:val="18"/>
                <w:szCs w:val="18"/>
              </w:rPr>
              <w:t xml:space="preserve"> </w:t>
            </w:r>
            <w:r w:rsidR="00ED0822" w:rsidRPr="00321B9D">
              <w:rPr>
                <w:i/>
                <w:sz w:val="18"/>
                <w:szCs w:val="18"/>
              </w:rPr>
              <w:t>Science nutných pro provedení hodnocení výsledků v</w:t>
            </w:r>
            <w:r w:rsidR="00ED0822">
              <w:rPr>
                <w:i/>
                <w:sz w:val="18"/>
                <w:szCs w:val="18"/>
              </w:rPr>
              <w:t xml:space="preserve">ýzkumných </w:t>
            </w:r>
            <w:r w:rsidR="00ED0822" w:rsidRPr="002662A2">
              <w:rPr>
                <w:i/>
                <w:sz w:val="18"/>
                <w:szCs w:val="18"/>
              </w:rPr>
              <w:t>organizací v roce 202</w:t>
            </w:r>
            <w:r w:rsidR="00ED0822">
              <w:rPr>
                <w:i/>
                <w:sz w:val="18"/>
                <w:szCs w:val="18"/>
              </w:rPr>
              <w:t xml:space="preserve">5                                                                      </w:t>
            </w:r>
          </w:p>
          <w:p w14:paraId="3C12E5C6" w14:textId="41FBF2BE" w:rsidR="00B120CD" w:rsidRPr="00E254A5" w:rsidRDefault="00ED0822" w:rsidP="00E254A5">
            <w:pPr>
              <w:pStyle w:val="Zpat"/>
              <w:rPr>
                <w:rFonts w:ascii="Arial" w:hAnsi="Arial" w:cs="Arial"/>
              </w:rPr>
            </w:pPr>
            <w:r w:rsidRPr="0066394B">
              <w:rPr>
                <w:i/>
                <w:sz w:val="18"/>
                <w:szCs w:val="18"/>
              </w:rPr>
              <w:t xml:space="preserve">Zpracoval/i: </w:t>
            </w:r>
            <w:r w:rsidRPr="008A1E55">
              <w:rPr>
                <w:i/>
                <w:sz w:val="18"/>
                <w:szCs w:val="18"/>
              </w:rPr>
              <w:t>Ing. Mgr. Kateřina Miholová, Ph.D</w:t>
            </w:r>
            <w:r>
              <w:rPr>
                <w:rFonts w:ascii="Arial" w:hAnsi="Arial" w:cs="Arial"/>
              </w:rPr>
              <w:t xml:space="preserve">.                                                        </w:t>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Pr>
                <w:rFonts w:ascii="Arial" w:hAnsi="Arial" w:cs="Arial"/>
                <w:sz w:val="16"/>
                <w:szCs w:val="16"/>
              </w:rPr>
              <w:t>1</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Pr>
                <w:rFonts w:ascii="Arial" w:hAnsi="Arial" w:cs="Arial"/>
                <w:sz w:val="16"/>
                <w:szCs w:val="16"/>
              </w:rPr>
              <w:t>3</w:t>
            </w:r>
            <w:r w:rsidRPr="00B13622">
              <w:rPr>
                <w:rFonts w:ascii="Arial" w:hAnsi="Arial" w:cs="Arial"/>
                <w:sz w:val="16"/>
                <w:szCs w:val="16"/>
              </w:rPr>
              <w:fldChar w:fldCharType="end"/>
            </w:r>
            <w:r w:rsidRPr="00B13622">
              <w:rPr>
                <w:rFonts w:ascii="Arial" w:hAnsi="Arial" w:cs="Arial"/>
                <w:sz w:val="16"/>
                <w:szCs w:val="16"/>
              </w:rPr>
              <w:t>)</w:t>
            </w:r>
            <w:r w:rsidRPr="00B13622">
              <w:rPr>
                <w:rFonts w:ascii="Arial" w:hAnsi="Arial" w:cs="Arial"/>
              </w:rPr>
              <w:tab/>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027467776"/>
      <w:docPartObj>
        <w:docPartGallery w:val="Page Numbers (Bottom of Page)"/>
        <w:docPartUnique/>
      </w:docPartObj>
    </w:sdtPr>
    <w:sdtEndPr/>
    <w:sdtContent>
      <w:sdt>
        <w:sdtPr>
          <w:rPr>
            <w:rFonts w:ascii="Arial" w:hAnsi="Arial" w:cs="Arial"/>
          </w:rPr>
          <w:id w:val="-1705238520"/>
          <w:docPartObj>
            <w:docPartGallery w:val="Page Numbers (Top of Page)"/>
            <w:docPartUnique/>
          </w:docPartObj>
        </w:sdtPr>
        <w:sdtEndPr/>
        <w:sdtContent>
          <w:p w14:paraId="5E8152C5" w14:textId="2E7378C5" w:rsidR="00B13622" w:rsidRPr="00E254A5" w:rsidRDefault="00B13622" w:rsidP="00B13622">
            <w:pPr>
              <w:pStyle w:val="Zpat"/>
              <w:rPr>
                <w:rFonts w:ascii="Arial" w:hAnsi="Arial" w:cs="Arial"/>
              </w:rPr>
            </w:pPr>
            <w:r w:rsidRPr="00B13622">
              <w:rPr>
                <w:rFonts w:ascii="Arial" w:hAnsi="Arial" w:cs="Arial"/>
                <w:noProof/>
                <w:color w:val="002060"/>
              </w:rPr>
              <mc:AlternateContent>
                <mc:Choice Requires="wps">
                  <w:drawing>
                    <wp:anchor distT="0" distB="0" distL="114300" distR="114300" simplePos="0" relativeHeight="251653120" behindDoc="0" locked="0" layoutInCell="1" allowOverlap="1" wp14:anchorId="608BAF7D" wp14:editId="69D84B3D">
                      <wp:simplePos x="0" y="0"/>
                      <wp:positionH relativeFrom="margin">
                        <wp:posOffset>0</wp:posOffset>
                      </wp:positionH>
                      <wp:positionV relativeFrom="paragraph">
                        <wp:posOffset>-87366</wp:posOffset>
                      </wp:positionV>
                      <wp:extent cx="6120130" cy="0"/>
                      <wp:effectExtent l="0" t="0" r="0" b="0"/>
                      <wp:wrapNone/>
                      <wp:docPr id="1506163037"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D7E9DA" id="Přímá spojnice 2" o:spid="_x0000_s1026" style="position:absolute;flip:y;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 xml:space="preserve"> </w:t>
            </w:r>
            <w:sdt>
              <w:sdtPr>
                <w:rPr>
                  <w:i/>
                  <w:sz w:val="18"/>
                  <w:szCs w:val="18"/>
                </w:rPr>
                <w:id w:val="-522399202"/>
                <w:docPartObj>
                  <w:docPartGallery w:val="Page Numbers (Top of Page)"/>
                  <w:docPartUnique/>
                </w:docPartObj>
              </w:sdtPr>
              <w:sdtEndPr>
                <w:rPr>
                  <w:rFonts w:ascii="Arial" w:hAnsi="Arial" w:cs="Arial"/>
                  <w:i w:val="0"/>
                  <w:sz w:val="24"/>
                  <w:szCs w:val="24"/>
                </w:rPr>
              </w:sdtEndPr>
              <w:sdtContent>
                <w:r w:rsidRPr="00ED0822">
                  <w:rPr>
                    <w:i/>
                    <w:noProof/>
                    <w:sz w:val="18"/>
                    <w:szCs w:val="18"/>
                  </w:rPr>
                  <mc:AlternateContent>
                    <mc:Choice Requires="wps">
                      <w:drawing>
                        <wp:anchor distT="0" distB="0" distL="114300" distR="114300" simplePos="0" relativeHeight="251654144" behindDoc="0" locked="0" layoutInCell="1" allowOverlap="1" wp14:anchorId="29CB5487" wp14:editId="7876920F">
                          <wp:simplePos x="0" y="0"/>
                          <wp:positionH relativeFrom="margin">
                            <wp:posOffset>0</wp:posOffset>
                          </wp:positionH>
                          <wp:positionV relativeFrom="paragraph">
                            <wp:posOffset>-87366</wp:posOffset>
                          </wp:positionV>
                          <wp:extent cx="6120130" cy="0"/>
                          <wp:effectExtent l="0" t="0" r="0" b="0"/>
                          <wp:wrapNone/>
                          <wp:docPr id="1407251093"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85FB23" id="Přímá spojnice 2" o:spid="_x0000_s1026" style="position:absolute;flip:y;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0C4996" w:rsidRPr="00321B9D">
                  <w:rPr>
                    <w:i/>
                    <w:sz w:val="18"/>
                    <w:szCs w:val="18"/>
                  </w:rPr>
                  <w:t>Nákup datových podkladů z databázové platformy We</w:t>
                </w:r>
                <w:r w:rsidR="000C4996">
                  <w:rPr>
                    <w:i/>
                    <w:sz w:val="18"/>
                    <w:szCs w:val="18"/>
                  </w:rPr>
                  <w:t xml:space="preserve">b </w:t>
                </w:r>
                <w:proofErr w:type="spellStart"/>
                <w:r w:rsidR="000C4996">
                  <w:rPr>
                    <w:i/>
                    <w:sz w:val="18"/>
                    <w:szCs w:val="18"/>
                  </w:rPr>
                  <w:t>of</w:t>
                </w:r>
                <w:proofErr w:type="spellEnd"/>
                <w:r w:rsidR="000C4996">
                  <w:rPr>
                    <w:i/>
                    <w:sz w:val="18"/>
                    <w:szCs w:val="18"/>
                  </w:rPr>
                  <w:t xml:space="preserve"> </w:t>
                </w:r>
                <w:r w:rsidR="000C4996" w:rsidRPr="00321B9D">
                  <w:rPr>
                    <w:i/>
                    <w:sz w:val="18"/>
                    <w:szCs w:val="18"/>
                  </w:rPr>
                  <w:t>Science nutných pro provedení hodnocení výsledků v</w:t>
                </w:r>
                <w:r w:rsidR="000C4996">
                  <w:rPr>
                    <w:i/>
                    <w:sz w:val="18"/>
                    <w:szCs w:val="18"/>
                  </w:rPr>
                  <w:t xml:space="preserve">ýzkumných </w:t>
                </w:r>
                <w:r w:rsidR="000C4996" w:rsidRPr="002662A2">
                  <w:rPr>
                    <w:i/>
                    <w:sz w:val="18"/>
                    <w:szCs w:val="18"/>
                  </w:rPr>
                  <w:t>organizací v roce 202</w:t>
                </w:r>
                <w:r w:rsidR="000C4996">
                  <w:rPr>
                    <w:i/>
                    <w:sz w:val="18"/>
                    <w:szCs w:val="18"/>
                  </w:rPr>
                  <w:t>5</w:t>
                </w:r>
                <w:r w:rsidR="008A1E55">
                  <w:rPr>
                    <w:i/>
                    <w:sz w:val="18"/>
                    <w:szCs w:val="18"/>
                  </w:rPr>
                  <w:t xml:space="preserve">                                                                      </w:t>
                </w:r>
                <w:r w:rsidR="008132AF">
                  <w:rPr>
                    <w:i/>
                    <w:sz w:val="18"/>
                    <w:szCs w:val="18"/>
                  </w:rPr>
                  <w:t xml:space="preserve">                                                                           </w:t>
                </w:r>
                <w:r w:rsidRPr="008132AF">
                  <w:rPr>
                    <w:i/>
                    <w:sz w:val="18"/>
                    <w:szCs w:val="18"/>
                  </w:rPr>
                  <w:t xml:space="preserve">Zpracoval/i: </w:t>
                </w:r>
                <w:r w:rsidR="008A1E55" w:rsidRPr="008A1E55">
                  <w:rPr>
                    <w:i/>
                    <w:sz w:val="18"/>
                    <w:szCs w:val="18"/>
                  </w:rPr>
                  <w:t>Ing. Mgr. Kateřina Miholová, Ph.D</w:t>
                </w:r>
                <w:r w:rsidR="008A1E55">
                  <w:rPr>
                    <w:rFonts w:ascii="Arial" w:hAnsi="Arial" w:cs="Arial"/>
                  </w:rPr>
                  <w:t xml:space="preserve">.                                                        </w:t>
                </w:r>
                <w:r w:rsidR="008A1E55" w:rsidRPr="00B13622">
                  <w:rPr>
                    <w:rFonts w:ascii="Arial" w:hAnsi="Arial" w:cs="Arial"/>
                    <w:sz w:val="16"/>
                    <w:szCs w:val="16"/>
                  </w:rPr>
                  <w:t xml:space="preserve">Stránka </w:t>
                </w:r>
                <w:r w:rsidR="008A1E55" w:rsidRPr="00B13622">
                  <w:rPr>
                    <w:rFonts w:ascii="Arial" w:hAnsi="Arial" w:cs="Arial"/>
                    <w:sz w:val="16"/>
                    <w:szCs w:val="16"/>
                  </w:rPr>
                  <w:fldChar w:fldCharType="begin"/>
                </w:r>
                <w:r w:rsidR="008A1E55" w:rsidRPr="00B13622">
                  <w:rPr>
                    <w:rFonts w:ascii="Arial" w:hAnsi="Arial" w:cs="Arial"/>
                    <w:sz w:val="16"/>
                    <w:szCs w:val="16"/>
                  </w:rPr>
                  <w:instrText>PAGE</w:instrText>
                </w:r>
                <w:r w:rsidR="008A1E55" w:rsidRPr="00B13622">
                  <w:rPr>
                    <w:rFonts w:ascii="Arial" w:hAnsi="Arial" w:cs="Arial"/>
                    <w:sz w:val="16"/>
                    <w:szCs w:val="16"/>
                  </w:rPr>
                  <w:fldChar w:fldCharType="separate"/>
                </w:r>
                <w:r w:rsidR="008A1E55">
                  <w:rPr>
                    <w:rFonts w:ascii="Arial" w:hAnsi="Arial" w:cs="Arial"/>
                    <w:sz w:val="16"/>
                    <w:szCs w:val="16"/>
                  </w:rPr>
                  <w:t>1</w:t>
                </w:r>
                <w:r w:rsidR="008A1E55" w:rsidRPr="00B13622">
                  <w:rPr>
                    <w:rFonts w:ascii="Arial" w:hAnsi="Arial" w:cs="Arial"/>
                    <w:sz w:val="16"/>
                    <w:szCs w:val="16"/>
                  </w:rPr>
                  <w:fldChar w:fldCharType="end"/>
                </w:r>
                <w:r w:rsidR="008A1E55" w:rsidRPr="00B13622">
                  <w:rPr>
                    <w:rFonts w:ascii="Arial" w:hAnsi="Arial" w:cs="Arial"/>
                    <w:sz w:val="16"/>
                    <w:szCs w:val="16"/>
                  </w:rPr>
                  <w:t xml:space="preserve"> (celkem </w:t>
                </w:r>
                <w:r w:rsidR="008A1E55" w:rsidRPr="00B13622">
                  <w:rPr>
                    <w:rFonts w:ascii="Arial" w:hAnsi="Arial" w:cs="Arial"/>
                    <w:sz w:val="16"/>
                    <w:szCs w:val="16"/>
                  </w:rPr>
                  <w:fldChar w:fldCharType="begin"/>
                </w:r>
                <w:r w:rsidR="008A1E55" w:rsidRPr="00B13622">
                  <w:rPr>
                    <w:rFonts w:ascii="Arial" w:hAnsi="Arial" w:cs="Arial"/>
                    <w:sz w:val="16"/>
                    <w:szCs w:val="16"/>
                  </w:rPr>
                  <w:instrText>NUMPAGES</w:instrText>
                </w:r>
                <w:r w:rsidR="008A1E55" w:rsidRPr="00B13622">
                  <w:rPr>
                    <w:rFonts w:ascii="Arial" w:hAnsi="Arial" w:cs="Arial"/>
                    <w:sz w:val="16"/>
                    <w:szCs w:val="16"/>
                  </w:rPr>
                  <w:fldChar w:fldCharType="separate"/>
                </w:r>
                <w:r w:rsidR="008A1E55">
                  <w:rPr>
                    <w:rFonts w:ascii="Arial" w:hAnsi="Arial" w:cs="Arial"/>
                    <w:sz w:val="16"/>
                    <w:szCs w:val="16"/>
                  </w:rPr>
                  <w:t>3</w:t>
                </w:r>
                <w:r w:rsidR="008A1E55" w:rsidRPr="00B13622">
                  <w:rPr>
                    <w:rFonts w:ascii="Arial" w:hAnsi="Arial" w:cs="Arial"/>
                    <w:sz w:val="16"/>
                    <w:szCs w:val="16"/>
                  </w:rPr>
                  <w:fldChar w:fldCharType="end"/>
                </w:r>
                <w:r w:rsidR="008A1E55" w:rsidRPr="00B13622">
                  <w:rPr>
                    <w:rFonts w:ascii="Arial" w:hAnsi="Arial" w:cs="Arial"/>
                    <w:sz w:val="16"/>
                    <w:szCs w:val="16"/>
                  </w:rPr>
                  <w:t>)</w:t>
                </w:r>
                <w:r w:rsidRPr="00B13622">
                  <w:rPr>
                    <w:rFonts w:ascii="Arial" w:hAnsi="Arial" w:cs="Arial"/>
                  </w:rPr>
                  <w:tab/>
                </w:r>
                <w:r w:rsidR="008A1E55">
                  <w:rPr>
                    <w:rFonts w:ascii="Arial" w:hAnsi="Arial" w:cs="Arial"/>
                  </w:rPr>
                  <w:t xml:space="preserve">                                                                                                               </w:t>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E4DA4" w14:textId="77777777" w:rsidR="00B120CD" w:rsidRDefault="00B120CD" w:rsidP="008F77F6">
      <w:r>
        <w:separator/>
      </w:r>
    </w:p>
  </w:footnote>
  <w:footnote w:type="continuationSeparator" w:id="0">
    <w:p w14:paraId="735631FF" w14:textId="77777777" w:rsidR="00B120CD" w:rsidRDefault="00B120CD"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3C7B4" w14:textId="38D98CCD" w:rsidR="00B13622" w:rsidRDefault="00B13622">
    <w:pPr>
      <w:pStyle w:val="Zhlav"/>
    </w:pPr>
    <w:r>
      <w:rPr>
        <w:noProof/>
      </w:rPr>
      <mc:AlternateContent>
        <mc:Choice Requires="wps">
          <w:drawing>
            <wp:anchor distT="0" distB="0" distL="0" distR="0" simplePos="0" relativeHeight="251614720" behindDoc="1" locked="0" layoutInCell="1" allowOverlap="1" wp14:anchorId="0CFB6566" wp14:editId="0B3BAB6F">
              <wp:simplePos x="0" y="0"/>
              <wp:positionH relativeFrom="margin">
                <wp:posOffset>4961729</wp:posOffset>
              </wp:positionH>
              <wp:positionV relativeFrom="topMargin">
                <wp:posOffset>695505</wp:posOffset>
              </wp:positionV>
              <wp:extent cx="1104596" cy="33337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596" cy="333375"/>
                      </a:xfrm>
                      <a:prstGeom prst="rect">
                        <a:avLst/>
                      </a:prstGeom>
                    </wps:spPr>
                    <wps:txbx>
                      <w:txbxContent>
                        <w:p w14:paraId="105D57A6" w14:textId="7966B730"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F4658A">
                            <w:rPr>
                              <w:rFonts w:ascii="Arial" w:hAnsi="Arial" w:cs="Arial"/>
                              <w:b/>
                              <w:color w:val="161A48"/>
                              <w:sz w:val="28"/>
                              <w:szCs w:val="28"/>
                            </w:rPr>
                            <w:t>4</w:t>
                          </w:r>
                          <w:r w:rsidRPr="00B13622">
                            <w:rPr>
                              <w:rFonts w:ascii="Arial" w:hAnsi="Arial" w:cs="Arial"/>
                              <w:b/>
                              <w:color w:val="161A48"/>
                              <w:sz w:val="28"/>
                              <w:szCs w:val="28"/>
                            </w:rPr>
                            <w:t>/</w:t>
                          </w:r>
                          <w:r>
                            <w:rPr>
                              <w:rFonts w:ascii="Arial" w:hAnsi="Arial" w:cs="Arial"/>
                              <w:b/>
                              <w:color w:val="161A48"/>
                              <w:sz w:val="28"/>
                              <w:szCs w:val="28"/>
                            </w:rPr>
                            <w:t>A</w:t>
                          </w:r>
                          <w:r w:rsidR="00F4658A">
                            <w:rPr>
                              <w:rFonts w:ascii="Arial" w:hAnsi="Arial" w:cs="Arial"/>
                              <w:b/>
                              <w:color w:val="161A48"/>
                              <w:sz w:val="28"/>
                              <w:szCs w:val="28"/>
                            </w:rPr>
                            <w:t>5</w:t>
                          </w:r>
                        </w:p>
                      </w:txbxContent>
                    </wps:txbx>
                    <wps:bodyPr wrap="square" lIns="0" tIns="0" rIns="0" bIns="0" rtlCol="0">
                      <a:noAutofit/>
                    </wps:bodyPr>
                  </wps:wsp>
                </a:graphicData>
              </a:graphic>
              <wp14:sizeRelH relativeFrom="margin">
                <wp14:pctWidth>0</wp14:pctWidth>
              </wp14:sizeRelH>
            </wp:anchor>
          </w:drawing>
        </mc:Choice>
        <mc:Fallback>
          <w:pict>
            <v:shapetype w14:anchorId="0CFB6566" id="_x0000_t202" coordsize="21600,21600" o:spt="202" path="m,l,21600r21600,l21600,xe">
              <v:stroke joinstyle="miter"/>
              <v:path gradientshapeok="t" o:connecttype="rect"/>
            </v:shapetype>
            <v:shape id="Textbox 46" o:spid="_x0000_s1026" type="#_x0000_t202" style="position:absolute;margin-left:390.7pt;margin-top:54.75pt;width:87pt;height:26.25pt;z-index:-251701760;visibility:visible;mso-wrap-style:square;mso-width-percent:0;mso-wrap-distance-left:0;mso-wrap-distance-top:0;mso-wrap-distance-right:0;mso-wrap-distance-bottom:0;mso-position-horizontal:absolute;mso-position-horizontal-relative:margin;mso-position-vertical:absolute;mso-position-vertical-relative:top-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" filled="f" stroked="f">
              <v:textbox inset="0,0,0,0">
                <w:txbxContent>
                  <w:p w14:paraId="105D57A6" w14:textId="7966B730"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F4658A">
                      <w:rPr>
                        <w:rFonts w:ascii="Arial" w:hAnsi="Arial" w:cs="Arial"/>
                        <w:b/>
                        <w:color w:val="161A48"/>
                        <w:sz w:val="28"/>
                        <w:szCs w:val="28"/>
                      </w:rPr>
                      <w:t>4</w:t>
                    </w:r>
                    <w:r w:rsidRPr="00B13622">
                      <w:rPr>
                        <w:rFonts w:ascii="Arial" w:hAnsi="Arial" w:cs="Arial"/>
                        <w:b/>
                        <w:color w:val="161A48"/>
                        <w:sz w:val="28"/>
                        <w:szCs w:val="28"/>
                      </w:rPr>
                      <w:t>/</w:t>
                    </w:r>
                    <w:r>
                      <w:rPr>
                        <w:rFonts w:ascii="Arial" w:hAnsi="Arial" w:cs="Arial"/>
                        <w:b/>
                        <w:color w:val="161A48"/>
                        <w:sz w:val="28"/>
                        <w:szCs w:val="28"/>
                      </w:rPr>
                      <w:t>A</w:t>
                    </w:r>
                    <w:r w:rsidR="00F4658A">
                      <w:rPr>
                        <w:rFonts w:ascii="Arial" w:hAnsi="Arial" w:cs="Arial"/>
                        <w:b/>
                        <w:color w:val="161A48"/>
                        <w:sz w:val="28"/>
                        <w:szCs w:val="28"/>
                      </w:rPr>
                      <w:t>5</w:t>
                    </w:r>
                  </w:p>
                </w:txbxContent>
              </v:textbox>
              <w10:wrap anchorx="margin" anchory="margin"/>
            </v:shape>
          </w:pict>
        </mc:Fallback>
      </mc:AlternateContent>
    </w:r>
    <w:r>
      <w:rPr>
        <w:noProof/>
      </w:rPr>
      <w:drawing>
        <wp:anchor distT="152400" distB="152400" distL="152400" distR="152400" simplePos="0" relativeHeight="251613696" behindDoc="1" locked="1" layoutInCell="1" allowOverlap="0" wp14:anchorId="4D58D5A3" wp14:editId="5B0C3407">
          <wp:simplePos x="0" y="0"/>
          <wp:positionH relativeFrom="margin">
            <wp:posOffset>-48260</wp:posOffset>
          </wp:positionH>
          <wp:positionV relativeFrom="topMargin">
            <wp:posOffset>587375</wp:posOffset>
          </wp:positionV>
          <wp:extent cx="2206625" cy="647700"/>
          <wp:effectExtent l="0" t="0" r="3175" b="0"/>
          <wp:wrapNone/>
          <wp:docPr id="551844123"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vložený-obrázek.pdf" descr="vložený-obrázek.pdf"/>
                  <pic:cNvPicPr>
                    <a:picLocks noChangeAspect="1"/>
                  </pic:cNvPicPr>
                </pic:nvPicPr>
                <pic:blipFill>
                  <a:blip r:embed="rId1"/>
                  <a:stretch>
                    <a:fillRect/>
                  </a:stretch>
                </pic:blipFill>
                <pic:spPr>
                  <a:xfrm>
                    <a:off x="0" y="0"/>
                    <a:ext cx="2206625" cy="6477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04C5A87"/>
    <w:multiLevelType w:val="hybridMultilevel"/>
    <w:tmpl w:val="4BD24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5"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77562523">
    <w:abstractNumId w:val="3"/>
  </w:num>
  <w:num w:numId="2" w16cid:durableId="719521593">
    <w:abstractNumId w:val="14"/>
  </w:num>
  <w:num w:numId="3" w16cid:durableId="1098527943">
    <w:abstractNumId w:val="7"/>
  </w:num>
  <w:num w:numId="4" w16cid:durableId="90512263">
    <w:abstractNumId w:val="8"/>
  </w:num>
  <w:num w:numId="5" w16cid:durableId="1430348738">
    <w:abstractNumId w:val="15"/>
  </w:num>
  <w:num w:numId="6" w16cid:durableId="984699852">
    <w:abstractNumId w:val="0"/>
  </w:num>
  <w:num w:numId="7" w16cid:durableId="553009888">
    <w:abstractNumId w:val="6"/>
  </w:num>
  <w:num w:numId="8" w16cid:durableId="572007924">
    <w:abstractNumId w:val="18"/>
  </w:num>
  <w:num w:numId="9" w16cid:durableId="1881090194">
    <w:abstractNumId w:val="9"/>
  </w:num>
  <w:num w:numId="10" w16cid:durableId="1309558488">
    <w:abstractNumId w:val="19"/>
  </w:num>
  <w:num w:numId="11" w16cid:durableId="90128545">
    <w:abstractNumId w:val="17"/>
  </w:num>
  <w:num w:numId="12" w16cid:durableId="778766677">
    <w:abstractNumId w:val="20"/>
  </w:num>
  <w:num w:numId="13" w16cid:durableId="167139912">
    <w:abstractNumId w:val="16"/>
  </w:num>
  <w:num w:numId="14" w16cid:durableId="305205252">
    <w:abstractNumId w:val="24"/>
  </w:num>
  <w:num w:numId="15" w16cid:durableId="864824891">
    <w:abstractNumId w:val="12"/>
  </w:num>
  <w:num w:numId="16" w16cid:durableId="437145923">
    <w:abstractNumId w:val="13"/>
    <w:lvlOverride w:ilvl="0">
      <w:startOverride w:val="1"/>
    </w:lvlOverride>
    <w:lvlOverride w:ilvl="1"/>
    <w:lvlOverride w:ilvl="2"/>
    <w:lvlOverride w:ilvl="3"/>
    <w:lvlOverride w:ilvl="4"/>
    <w:lvlOverride w:ilvl="5"/>
    <w:lvlOverride w:ilvl="6"/>
    <w:lvlOverride w:ilvl="7"/>
    <w:lvlOverride w:ilvl="8"/>
  </w:num>
  <w:num w:numId="17" w16cid:durableId="2034112331">
    <w:abstractNumId w:val="10"/>
  </w:num>
  <w:num w:numId="18" w16cid:durableId="1607349755">
    <w:abstractNumId w:val="25"/>
  </w:num>
  <w:num w:numId="19" w16cid:durableId="1598558212">
    <w:abstractNumId w:val="2"/>
  </w:num>
  <w:num w:numId="20" w16cid:durableId="1255482614">
    <w:abstractNumId w:val="5"/>
  </w:num>
  <w:num w:numId="21" w16cid:durableId="1423188385">
    <w:abstractNumId w:val="22"/>
  </w:num>
  <w:num w:numId="22" w16cid:durableId="99686336">
    <w:abstractNumId w:val="21"/>
  </w:num>
  <w:num w:numId="23" w16cid:durableId="1493335194">
    <w:abstractNumId w:val="4"/>
  </w:num>
  <w:num w:numId="24" w16cid:durableId="786581191">
    <w:abstractNumId w:val="11"/>
  </w:num>
  <w:num w:numId="25" w16cid:durableId="170413285">
    <w:abstractNumId w:val="1"/>
    <w:lvlOverride w:ilvl="0">
      <w:lvl w:ilvl="0">
        <w:numFmt w:val="bullet"/>
        <w:lvlText w:val=""/>
        <w:legacy w:legacy="1" w:legacySpace="0" w:legacyIndent="0"/>
        <w:lvlJc w:val="left"/>
        <w:rPr>
          <w:rFonts w:ascii="Symbol" w:hAnsi="Symbol" w:hint="default"/>
          <w:sz w:val="22"/>
        </w:rPr>
      </w:lvl>
    </w:lvlOverride>
  </w:num>
  <w:num w:numId="26" w16cid:durableId="1196100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6"/>
    <w:rsid w:val="0000012F"/>
    <w:rsid w:val="000120D6"/>
    <w:rsid w:val="00016B78"/>
    <w:rsid w:val="0002313D"/>
    <w:rsid w:val="00033327"/>
    <w:rsid w:val="00035EFD"/>
    <w:rsid w:val="00041AC0"/>
    <w:rsid w:val="00043BB4"/>
    <w:rsid w:val="000472F8"/>
    <w:rsid w:val="000549A1"/>
    <w:rsid w:val="000562B1"/>
    <w:rsid w:val="000574CE"/>
    <w:rsid w:val="00060D62"/>
    <w:rsid w:val="00065C9D"/>
    <w:rsid w:val="000668D4"/>
    <w:rsid w:val="000722CE"/>
    <w:rsid w:val="00076499"/>
    <w:rsid w:val="00077AD9"/>
    <w:rsid w:val="00081162"/>
    <w:rsid w:val="0008125C"/>
    <w:rsid w:val="00083370"/>
    <w:rsid w:val="00083D98"/>
    <w:rsid w:val="00084C50"/>
    <w:rsid w:val="00086B42"/>
    <w:rsid w:val="000942EB"/>
    <w:rsid w:val="000B314A"/>
    <w:rsid w:val="000B347D"/>
    <w:rsid w:val="000C1F1B"/>
    <w:rsid w:val="000C2009"/>
    <w:rsid w:val="000C4503"/>
    <w:rsid w:val="000C4996"/>
    <w:rsid w:val="000C4A33"/>
    <w:rsid w:val="000C7099"/>
    <w:rsid w:val="000C7CA6"/>
    <w:rsid w:val="000D0E51"/>
    <w:rsid w:val="000E29A9"/>
    <w:rsid w:val="000E3C17"/>
    <w:rsid w:val="000E5261"/>
    <w:rsid w:val="000E7427"/>
    <w:rsid w:val="000F41FB"/>
    <w:rsid w:val="001029D8"/>
    <w:rsid w:val="0010695C"/>
    <w:rsid w:val="001125CD"/>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66C7B"/>
    <w:rsid w:val="00176933"/>
    <w:rsid w:val="00183C16"/>
    <w:rsid w:val="00193DBE"/>
    <w:rsid w:val="001942F6"/>
    <w:rsid w:val="00197C0D"/>
    <w:rsid w:val="001A24A6"/>
    <w:rsid w:val="001A6585"/>
    <w:rsid w:val="001B2327"/>
    <w:rsid w:val="001B2DBC"/>
    <w:rsid w:val="001B32DA"/>
    <w:rsid w:val="001B78C5"/>
    <w:rsid w:val="001C04DF"/>
    <w:rsid w:val="001C3564"/>
    <w:rsid w:val="001D03E6"/>
    <w:rsid w:val="001D0791"/>
    <w:rsid w:val="001D1E7E"/>
    <w:rsid w:val="001D2DF6"/>
    <w:rsid w:val="001D34CE"/>
    <w:rsid w:val="001D3920"/>
    <w:rsid w:val="001D43F8"/>
    <w:rsid w:val="001E38CB"/>
    <w:rsid w:val="001F190C"/>
    <w:rsid w:val="001F25B2"/>
    <w:rsid w:val="001F38CB"/>
    <w:rsid w:val="001F44E0"/>
    <w:rsid w:val="00200490"/>
    <w:rsid w:val="00215834"/>
    <w:rsid w:val="00215F97"/>
    <w:rsid w:val="00225149"/>
    <w:rsid w:val="0022699E"/>
    <w:rsid w:val="002276E6"/>
    <w:rsid w:val="00227993"/>
    <w:rsid w:val="00230132"/>
    <w:rsid w:val="00237006"/>
    <w:rsid w:val="00237892"/>
    <w:rsid w:val="00244CE6"/>
    <w:rsid w:val="002457E3"/>
    <w:rsid w:val="00245F90"/>
    <w:rsid w:val="00253052"/>
    <w:rsid w:val="00253FE7"/>
    <w:rsid w:val="00255C92"/>
    <w:rsid w:val="00257470"/>
    <w:rsid w:val="00264A24"/>
    <w:rsid w:val="00265A36"/>
    <w:rsid w:val="00266AB1"/>
    <w:rsid w:val="002701B8"/>
    <w:rsid w:val="00271833"/>
    <w:rsid w:val="0027714E"/>
    <w:rsid w:val="0028359F"/>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032F"/>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65CFE"/>
    <w:rsid w:val="0048037B"/>
    <w:rsid w:val="004804E7"/>
    <w:rsid w:val="00486F44"/>
    <w:rsid w:val="00491080"/>
    <w:rsid w:val="0049162B"/>
    <w:rsid w:val="0049236E"/>
    <w:rsid w:val="00493CD2"/>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36A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57FCE"/>
    <w:rsid w:val="0066357A"/>
    <w:rsid w:val="006830AB"/>
    <w:rsid w:val="00683EBD"/>
    <w:rsid w:val="006900DD"/>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06BB"/>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4DB4"/>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2AF"/>
    <w:rsid w:val="00813A7C"/>
    <w:rsid w:val="008166CF"/>
    <w:rsid w:val="00816E2E"/>
    <w:rsid w:val="008215D0"/>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895"/>
    <w:rsid w:val="00870DE1"/>
    <w:rsid w:val="0087277D"/>
    <w:rsid w:val="00872D1B"/>
    <w:rsid w:val="00872E10"/>
    <w:rsid w:val="0087568F"/>
    <w:rsid w:val="00876001"/>
    <w:rsid w:val="00882EF6"/>
    <w:rsid w:val="0089347B"/>
    <w:rsid w:val="0089463A"/>
    <w:rsid w:val="0089743E"/>
    <w:rsid w:val="008A1E55"/>
    <w:rsid w:val="008A603A"/>
    <w:rsid w:val="008A69B5"/>
    <w:rsid w:val="008A7244"/>
    <w:rsid w:val="008C0727"/>
    <w:rsid w:val="008C2412"/>
    <w:rsid w:val="008C68D1"/>
    <w:rsid w:val="008D0383"/>
    <w:rsid w:val="008D1A8F"/>
    <w:rsid w:val="008D2E30"/>
    <w:rsid w:val="008D3453"/>
    <w:rsid w:val="008D3D31"/>
    <w:rsid w:val="008D4308"/>
    <w:rsid w:val="008E0DAB"/>
    <w:rsid w:val="008E2BFC"/>
    <w:rsid w:val="008F1A79"/>
    <w:rsid w:val="008F262B"/>
    <w:rsid w:val="008F330B"/>
    <w:rsid w:val="008F77F6"/>
    <w:rsid w:val="0090049F"/>
    <w:rsid w:val="009008AA"/>
    <w:rsid w:val="00904141"/>
    <w:rsid w:val="0090482F"/>
    <w:rsid w:val="009300D3"/>
    <w:rsid w:val="00931AEE"/>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185"/>
    <w:rsid w:val="009B6E96"/>
    <w:rsid w:val="009C7CDF"/>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50F7"/>
    <w:rsid w:val="00A17B13"/>
    <w:rsid w:val="00A21964"/>
    <w:rsid w:val="00A2265C"/>
    <w:rsid w:val="00A31F09"/>
    <w:rsid w:val="00A33FEC"/>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5D07"/>
    <w:rsid w:val="00B06CFD"/>
    <w:rsid w:val="00B0750E"/>
    <w:rsid w:val="00B120CD"/>
    <w:rsid w:val="00B13622"/>
    <w:rsid w:val="00B1657A"/>
    <w:rsid w:val="00B220C2"/>
    <w:rsid w:val="00B26E0F"/>
    <w:rsid w:val="00B3172E"/>
    <w:rsid w:val="00B345DF"/>
    <w:rsid w:val="00B378E5"/>
    <w:rsid w:val="00B41026"/>
    <w:rsid w:val="00B413FF"/>
    <w:rsid w:val="00B452DA"/>
    <w:rsid w:val="00B50453"/>
    <w:rsid w:val="00B50BAE"/>
    <w:rsid w:val="00B5350F"/>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D502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3C77"/>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54F2"/>
    <w:rsid w:val="00D365EF"/>
    <w:rsid w:val="00D37AE9"/>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54A5"/>
    <w:rsid w:val="00E27B5C"/>
    <w:rsid w:val="00E3018F"/>
    <w:rsid w:val="00E32A09"/>
    <w:rsid w:val="00E3679C"/>
    <w:rsid w:val="00E41A5B"/>
    <w:rsid w:val="00E42AAE"/>
    <w:rsid w:val="00E44CF3"/>
    <w:rsid w:val="00E500B7"/>
    <w:rsid w:val="00E51DC7"/>
    <w:rsid w:val="00E56B01"/>
    <w:rsid w:val="00E57BC0"/>
    <w:rsid w:val="00E636D4"/>
    <w:rsid w:val="00E64785"/>
    <w:rsid w:val="00E65AC9"/>
    <w:rsid w:val="00E7382A"/>
    <w:rsid w:val="00E7704B"/>
    <w:rsid w:val="00E8073F"/>
    <w:rsid w:val="00E82C93"/>
    <w:rsid w:val="00E83A72"/>
    <w:rsid w:val="00E8409C"/>
    <w:rsid w:val="00E87A37"/>
    <w:rsid w:val="00E907F0"/>
    <w:rsid w:val="00E90863"/>
    <w:rsid w:val="00E917DE"/>
    <w:rsid w:val="00E92F24"/>
    <w:rsid w:val="00E94BD8"/>
    <w:rsid w:val="00EA673A"/>
    <w:rsid w:val="00EB7070"/>
    <w:rsid w:val="00EC1384"/>
    <w:rsid w:val="00EC2224"/>
    <w:rsid w:val="00EC2802"/>
    <w:rsid w:val="00EC6CAE"/>
    <w:rsid w:val="00ED0822"/>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58A"/>
    <w:rsid w:val="00F46740"/>
    <w:rsid w:val="00F51DCA"/>
    <w:rsid w:val="00F554DB"/>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636DFCB2"/>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customStyle="1" w:styleId="tvar">
    <w:name w:val="Útvar"/>
    <w:basedOn w:val="Normln"/>
    <w:link w:val="tvarChar"/>
    <w:uiPriority w:val="9"/>
    <w:qFormat/>
    <w:rsid w:val="00493CD2"/>
    <w:pPr>
      <w:spacing w:line="276" w:lineRule="auto"/>
      <w:jc w:val="both"/>
    </w:pPr>
    <w:rPr>
      <w:rFonts w:ascii="Arial" w:eastAsia="Arial" w:hAnsi="Arial" w:cs="Arial"/>
      <w:b/>
      <w:color w:val="161A48"/>
      <w:sz w:val="28"/>
    </w:rPr>
  </w:style>
  <w:style w:type="character" w:customStyle="1" w:styleId="tvarChar">
    <w:name w:val="Útvar Char"/>
    <w:basedOn w:val="ZhlavChar"/>
    <w:link w:val="tvar"/>
    <w:uiPriority w:val="9"/>
    <w:rsid w:val="00493CD2"/>
    <w:rPr>
      <w:rFonts w:ascii="Arial" w:eastAsia="Arial" w:hAnsi="Arial" w:cs="Arial"/>
      <w:b/>
      <w:color w:val="161A48"/>
      <w:sz w:val="28"/>
      <w:szCs w:val="24"/>
      <w:lang w:eastAsia="cs-CZ"/>
    </w:rPr>
  </w:style>
  <w:style w:type="paragraph" w:styleId="Nadpisobsahu">
    <w:name w:val="TOC Heading"/>
    <w:basedOn w:val="Nadpis1"/>
    <w:next w:val="Normln"/>
    <w:uiPriority w:val="39"/>
    <w:unhideWhenUsed/>
    <w:qFormat/>
    <w:rsid w:val="00493CD2"/>
    <w:pPr>
      <w:keepLines/>
      <w:spacing w:after="0" w:line="259" w:lineRule="auto"/>
      <w:outlineLvl w:val="9"/>
    </w:pPr>
    <w:rPr>
      <w:rFonts w:eastAsiaTheme="majorEastAsia" w:cstheme="majorBidi"/>
      <w:bCs w:val="0"/>
      <w:kern w:val="0"/>
      <w:sz w:val="28"/>
      <w:lang w:eastAsia="cs-CZ"/>
    </w:rPr>
  </w:style>
  <w:style w:type="paragraph" w:styleId="Revize">
    <w:name w:val="Revision"/>
    <w:hidden/>
    <w:uiPriority w:val="99"/>
    <w:semiHidden/>
    <w:rsid w:val="003C032F"/>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E740-E865-4A1F-9DD8-F0E0E5E3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1282</Words>
  <Characters>7566</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Lucie Rulíková</cp:lastModifiedBy>
  <cp:revision>17</cp:revision>
  <cp:lastPrinted>2020-10-29T10:28:00Z</cp:lastPrinted>
  <dcterms:created xsi:type="dcterms:W3CDTF">2025-08-14T07:59:00Z</dcterms:created>
  <dcterms:modified xsi:type="dcterms:W3CDTF">2025-09-02T12:56:00Z</dcterms:modified>
</cp:coreProperties>
</file>